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85F3" w14:textId="77777777" w:rsidR="007C0925" w:rsidRDefault="005B4FC4">
      <w:pPr>
        <w:spacing w:after="288" w:line="259" w:lineRule="auto"/>
        <w:ind w:left="14" w:firstLine="0"/>
      </w:pPr>
      <w:r>
        <w:rPr>
          <w:rFonts w:ascii="Times New Roman" w:eastAsia="Times New Roman" w:hAnsi="Times New Roman" w:cs="Times New Roman"/>
          <w:sz w:val="4"/>
        </w:rPr>
        <w:t xml:space="preserve"> </w:t>
      </w:r>
      <w:r>
        <w:rPr>
          <w:rFonts w:ascii="Verdana" w:eastAsia="Verdana" w:hAnsi="Verdana" w:cs="Verdana"/>
        </w:rPr>
        <w:t xml:space="preserve"> </w:t>
      </w:r>
    </w:p>
    <w:p w14:paraId="7128A48D" w14:textId="77777777" w:rsidR="007C0925" w:rsidRDefault="005B4FC4">
      <w:pPr>
        <w:spacing w:after="184" w:line="398" w:lineRule="auto"/>
        <w:ind w:left="14" w:right="2490" w:firstLine="3175"/>
      </w:pPr>
      <w:r>
        <w:rPr>
          <w:noProof/>
        </w:rPr>
        <w:drawing>
          <wp:inline distT="0" distB="0" distL="0" distR="0" wp14:anchorId="10A799AE" wp14:editId="08BF58D8">
            <wp:extent cx="2381885" cy="8718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5"/>
                    <a:stretch>
                      <a:fillRect/>
                    </a:stretch>
                  </pic:blipFill>
                  <pic:spPr>
                    <a:xfrm>
                      <a:off x="0" y="0"/>
                      <a:ext cx="2381885" cy="871855"/>
                    </a:xfrm>
                    <a:prstGeom prst="rect">
                      <a:avLst/>
                    </a:prstGeom>
                  </pic:spPr>
                </pic:pic>
              </a:graphicData>
            </a:graphic>
          </wp:inline>
        </w:drawing>
      </w:r>
      <w:r>
        <w:rPr>
          <w:rFonts w:ascii="Times New Roman" w:eastAsia="Times New Roman" w:hAnsi="Times New Roman" w:cs="Times New Roman"/>
          <w:sz w:val="20"/>
        </w:rPr>
        <w:t xml:space="preserve"> </w:t>
      </w:r>
      <w:r>
        <w:rPr>
          <w:rFonts w:ascii="Verdana" w:eastAsia="Verdana" w:hAnsi="Verdana" w:cs="Verdana"/>
        </w:rPr>
        <w:t xml:space="preserve"> </w:t>
      </w:r>
      <w:r>
        <w:rPr>
          <w:rFonts w:ascii="Times New Roman" w:eastAsia="Times New Roman" w:hAnsi="Times New Roman" w:cs="Times New Roman"/>
          <w:sz w:val="18"/>
        </w:rPr>
        <w:t xml:space="preserve"> </w:t>
      </w:r>
      <w:r>
        <w:t xml:space="preserve"> </w:t>
      </w:r>
    </w:p>
    <w:p w14:paraId="740CCE10" w14:textId="06A9B8C4" w:rsidR="00D51220" w:rsidRDefault="005B4FC4" w:rsidP="00D51220">
      <w:pPr>
        <w:spacing w:after="411" w:line="265" w:lineRule="auto"/>
        <w:ind w:left="10"/>
        <w:rPr>
          <w:rFonts w:ascii="Calibri" w:hAnsi="Calibri" w:cs="Calibri"/>
          <w:sz w:val="22"/>
          <w:szCs w:val="22"/>
        </w:rPr>
      </w:pPr>
      <w:r w:rsidRPr="00B87441">
        <w:rPr>
          <w:rFonts w:ascii="Calibri" w:hAnsi="Calibri" w:cs="Calibri"/>
          <w:b/>
          <w:sz w:val="22"/>
          <w:szCs w:val="22"/>
        </w:rPr>
        <w:t xml:space="preserve">          Infection Control Statement 2025/2026 </w:t>
      </w:r>
      <w:r w:rsidRPr="00B87441">
        <w:rPr>
          <w:rFonts w:ascii="Calibri" w:hAnsi="Calibri" w:cs="Calibri"/>
          <w:sz w:val="22"/>
          <w:szCs w:val="22"/>
        </w:rPr>
        <w:t xml:space="preserve"> </w:t>
      </w:r>
      <w:r w:rsidR="0052297D">
        <w:rPr>
          <w:rFonts w:ascii="Calibri" w:hAnsi="Calibri" w:cs="Calibri"/>
          <w:sz w:val="22"/>
          <w:szCs w:val="22"/>
        </w:rPr>
        <w:t>(BHF Lundwood and iHeart OOH)</w:t>
      </w:r>
    </w:p>
    <w:p w14:paraId="7BB4140F" w14:textId="77777777" w:rsidR="00B35CBA" w:rsidRPr="00B35CBA" w:rsidRDefault="00B35CBA" w:rsidP="00B35CBA">
      <w:pPr>
        <w:spacing w:after="411" w:line="265" w:lineRule="auto"/>
        <w:ind w:left="461" w:firstLine="0"/>
        <w:rPr>
          <w:rFonts w:ascii="Calibri" w:hAnsi="Calibri" w:cs="Calibri"/>
          <w:b/>
          <w:bCs/>
          <w:sz w:val="22"/>
          <w:szCs w:val="22"/>
        </w:rPr>
      </w:pPr>
      <w:r w:rsidRPr="00B35CBA">
        <w:rPr>
          <w:rFonts w:ascii="Calibri" w:hAnsi="Calibri" w:cs="Calibri"/>
          <w:b/>
          <w:bCs/>
          <w:sz w:val="22"/>
          <w:szCs w:val="22"/>
        </w:rPr>
        <w:t>Author:</w:t>
      </w:r>
      <w:r w:rsidRPr="00B35CBA">
        <w:rPr>
          <w:rFonts w:ascii="Calibri" w:hAnsi="Calibri" w:cs="Calibri"/>
          <w:b/>
          <w:bCs/>
          <w:sz w:val="22"/>
          <w:szCs w:val="22"/>
        </w:rPr>
        <w:br/>
        <w:t>Rachel McVeigh</w:t>
      </w:r>
      <w:r w:rsidRPr="00B35CBA">
        <w:rPr>
          <w:rFonts w:ascii="Calibri" w:hAnsi="Calibri" w:cs="Calibri"/>
          <w:b/>
          <w:bCs/>
          <w:sz w:val="22"/>
          <w:szCs w:val="22"/>
        </w:rPr>
        <w:br/>
        <w:t>Chief Nurse and Infection Prevention &amp; Control (IPC) Lead</w:t>
      </w:r>
      <w:r w:rsidRPr="00B35CBA">
        <w:rPr>
          <w:rFonts w:ascii="Calibri" w:hAnsi="Calibri" w:cs="Calibri"/>
          <w:b/>
          <w:bCs/>
          <w:sz w:val="22"/>
          <w:szCs w:val="22"/>
        </w:rPr>
        <w:br/>
        <w:t>January 2026</w:t>
      </w:r>
    </w:p>
    <w:p w14:paraId="23E6E8CA" w14:textId="0CF71CBD" w:rsidR="00D51220" w:rsidRPr="00D51220" w:rsidRDefault="00D51220" w:rsidP="00D51220">
      <w:pPr>
        <w:spacing w:after="411" w:line="265" w:lineRule="auto"/>
        <w:ind w:left="461" w:firstLine="0"/>
        <w:rPr>
          <w:rFonts w:ascii="Calibri" w:hAnsi="Calibri" w:cs="Calibri"/>
          <w:b/>
          <w:bCs/>
          <w:sz w:val="22"/>
          <w:szCs w:val="22"/>
        </w:rPr>
      </w:pPr>
      <w:r w:rsidRPr="00D51220">
        <w:rPr>
          <w:rFonts w:ascii="Calibri" w:hAnsi="Calibri" w:cs="Calibri"/>
          <w:b/>
          <w:bCs/>
          <w:sz w:val="22"/>
          <w:szCs w:val="22"/>
        </w:rPr>
        <w:t>It is a requirement of the Health and Social Care Act 2008 Code of Practice on the prevention and control of infections, and its associated guidance, that the Infection Prevention and Control (IPC) Lead produces an annual statement demonstrating compliance with good infection prevention and control practice</w:t>
      </w:r>
    </w:p>
    <w:p w14:paraId="320B0814" w14:textId="77777777" w:rsidR="007C0925" w:rsidRPr="00B87441" w:rsidRDefault="005B4FC4">
      <w:pPr>
        <w:pStyle w:val="Heading2"/>
        <w:ind w:left="471"/>
        <w:rPr>
          <w:rFonts w:ascii="Calibri" w:hAnsi="Calibri" w:cs="Calibri"/>
          <w:sz w:val="22"/>
          <w:szCs w:val="22"/>
        </w:rPr>
      </w:pPr>
      <w:r w:rsidRPr="00B87441">
        <w:rPr>
          <w:rFonts w:ascii="Calibri" w:hAnsi="Calibri" w:cs="Calibri"/>
          <w:sz w:val="22"/>
          <w:szCs w:val="22"/>
        </w:rPr>
        <w:t xml:space="preserve">1. Purpose of the Annual Statement </w:t>
      </w:r>
    </w:p>
    <w:p w14:paraId="7045A916" w14:textId="77777777" w:rsidR="00D51220" w:rsidRPr="00D51220" w:rsidRDefault="00D51220" w:rsidP="00D51220">
      <w:pPr>
        <w:spacing w:after="109" w:line="259" w:lineRule="auto"/>
        <w:ind w:firstLine="0"/>
        <w:rPr>
          <w:rFonts w:ascii="Calibri" w:hAnsi="Calibri" w:cs="Calibri"/>
          <w:sz w:val="22"/>
          <w:szCs w:val="22"/>
        </w:rPr>
      </w:pPr>
      <w:r w:rsidRPr="00D51220">
        <w:rPr>
          <w:rFonts w:ascii="Calibri" w:hAnsi="Calibri" w:cs="Calibri"/>
          <w:sz w:val="22"/>
          <w:szCs w:val="22"/>
        </w:rPr>
        <w:t>This Annual Infection Prevention and Control (IPC) Statement is produced in accordance with the Health and Social Care Act 2008 Code of Practice. It provides a summary of infection transmission incidents, audit findings, risk assessments, staff training, policy updates, and the IPC improvements implemented across the organisation during the reporting period</w:t>
      </w:r>
    </w:p>
    <w:p w14:paraId="2F60D417" w14:textId="75738578" w:rsidR="007C0925" w:rsidRPr="00B87441" w:rsidRDefault="007C0925">
      <w:pPr>
        <w:spacing w:after="109" w:line="259" w:lineRule="auto"/>
        <w:ind w:firstLine="0"/>
        <w:rPr>
          <w:rFonts w:ascii="Calibri" w:hAnsi="Calibri" w:cs="Calibri"/>
          <w:sz w:val="22"/>
          <w:szCs w:val="22"/>
        </w:rPr>
      </w:pPr>
    </w:p>
    <w:p w14:paraId="30B533B9" w14:textId="77777777" w:rsidR="007C0925" w:rsidRPr="00B87441" w:rsidRDefault="005B4FC4">
      <w:pPr>
        <w:pStyle w:val="Heading2"/>
        <w:ind w:left="471"/>
        <w:rPr>
          <w:rFonts w:ascii="Calibri" w:hAnsi="Calibri" w:cs="Calibri"/>
          <w:sz w:val="22"/>
          <w:szCs w:val="22"/>
        </w:rPr>
      </w:pPr>
      <w:r w:rsidRPr="00B87441">
        <w:rPr>
          <w:rFonts w:ascii="Calibri" w:hAnsi="Calibri" w:cs="Calibri"/>
          <w:sz w:val="22"/>
          <w:szCs w:val="22"/>
        </w:rPr>
        <w:t xml:space="preserve">2. Infection Transmission Incidents (2025–2026) </w:t>
      </w:r>
    </w:p>
    <w:p w14:paraId="47213AD9" w14:textId="77777777" w:rsidR="00D51220" w:rsidRPr="00D51220" w:rsidRDefault="00D51220" w:rsidP="00D51220">
      <w:pPr>
        <w:spacing w:after="109" w:line="259" w:lineRule="auto"/>
        <w:ind w:firstLine="0"/>
        <w:rPr>
          <w:rFonts w:ascii="Calibri" w:hAnsi="Calibri" w:cs="Calibri"/>
          <w:sz w:val="22"/>
          <w:szCs w:val="22"/>
        </w:rPr>
      </w:pPr>
      <w:r w:rsidRPr="00D51220">
        <w:rPr>
          <w:rFonts w:ascii="Calibri" w:hAnsi="Calibri" w:cs="Calibri"/>
          <w:sz w:val="22"/>
          <w:szCs w:val="22"/>
        </w:rPr>
        <w:t>No significant infection transmission incidents occurred during this period. All IPC concerns, observations, and near misses were logged and reviewed through the Clinical Governance process, with appropriate actions taken to ensure learning and continuous improvement</w:t>
      </w:r>
    </w:p>
    <w:p w14:paraId="0F2E3FAF" w14:textId="1BCE3CC2" w:rsidR="007C0925" w:rsidRPr="00B87441" w:rsidRDefault="007C0925">
      <w:pPr>
        <w:spacing w:after="109" w:line="259" w:lineRule="auto"/>
        <w:ind w:firstLine="0"/>
        <w:rPr>
          <w:rFonts w:ascii="Calibri" w:hAnsi="Calibri" w:cs="Calibri"/>
          <w:sz w:val="22"/>
          <w:szCs w:val="22"/>
        </w:rPr>
      </w:pPr>
    </w:p>
    <w:p w14:paraId="7C4DCF86" w14:textId="77777777" w:rsidR="007C0925" w:rsidRPr="00B87441" w:rsidRDefault="005B4FC4">
      <w:pPr>
        <w:pStyle w:val="Heading2"/>
        <w:ind w:left="471"/>
        <w:rPr>
          <w:rFonts w:ascii="Calibri" w:hAnsi="Calibri" w:cs="Calibri"/>
          <w:sz w:val="22"/>
          <w:szCs w:val="22"/>
        </w:rPr>
      </w:pPr>
      <w:r w:rsidRPr="00B87441">
        <w:rPr>
          <w:rFonts w:ascii="Calibri" w:hAnsi="Calibri" w:cs="Calibri"/>
          <w:sz w:val="22"/>
          <w:szCs w:val="22"/>
        </w:rPr>
        <w:t xml:space="preserve">3. Cleaning Standards &amp; Environmental Management </w:t>
      </w:r>
    </w:p>
    <w:p w14:paraId="359B9075" w14:textId="77777777" w:rsidR="00D51220" w:rsidRPr="00D51220" w:rsidRDefault="00D51220" w:rsidP="00D51220">
      <w:pPr>
        <w:spacing w:after="108" w:line="259" w:lineRule="auto"/>
        <w:ind w:firstLine="0"/>
        <w:rPr>
          <w:rFonts w:ascii="Calibri" w:hAnsi="Calibri" w:cs="Calibri"/>
          <w:sz w:val="22"/>
          <w:szCs w:val="22"/>
        </w:rPr>
      </w:pPr>
      <w:r w:rsidRPr="00D51220">
        <w:rPr>
          <w:rFonts w:ascii="Calibri" w:hAnsi="Calibri" w:cs="Calibri"/>
          <w:sz w:val="22"/>
          <w:szCs w:val="22"/>
        </w:rPr>
        <w:t>The organisation follows the National Standards of Healthcare Cleanliness, supported by a Functional Risk (FR) categorisation appropriate to the Priory Centre setting. Cleaning schedules are aligned to these standards and include enhanced routines for high</w:t>
      </w:r>
      <w:r w:rsidRPr="00D51220">
        <w:rPr>
          <w:rFonts w:ascii="Calibri" w:hAnsi="Calibri" w:cs="Calibri"/>
          <w:sz w:val="22"/>
          <w:szCs w:val="22"/>
        </w:rPr>
        <w:noBreakHyphen/>
        <w:t>touch surfaces and busy areas. Regular compliance monitoring takes place through quarterly environmental walk</w:t>
      </w:r>
      <w:r w:rsidRPr="00D51220">
        <w:rPr>
          <w:rFonts w:ascii="Calibri" w:hAnsi="Calibri" w:cs="Calibri"/>
          <w:sz w:val="22"/>
          <w:szCs w:val="22"/>
        </w:rPr>
        <w:noBreakHyphen/>
        <w:t>arounds and checks on cleaning frequency, equipment maintenance, and waste management — all of which reflect CQC expectations for documented cleaning schedules and maintenance of equipment</w:t>
      </w:r>
    </w:p>
    <w:p w14:paraId="55F612A9" w14:textId="28490221" w:rsidR="00D51220" w:rsidRDefault="00D51220" w:rsidP="00D51220">
      <w:pPr>
        <w:spacing w:after="108" w:line="259" w:lineRule="auto"/>
        <w:ind w:firstLine="0"/>
        <w:rPr>
          <w:rFonts w:ascii="Calibri" w:hAnsi="Calibri" w:cs="Calibri"/>
          <w:sz w:val="22"/>
          <w:szCs w:val="22"/>
        </w:rPr>
      </w:pPr>
    </w:p>
    <w:p w14:paraId="3128AED8" w14:textId="77777777" w:rsidR="00D51220" w:rsidRDefault="005B4FC4" w:rsidP="00D51220">
      <w:pPr>
        <w:spacing w:after="108" w:line="259" w:lineRule="auto"/>
        <w:ind w:firstLine="0"/>
        <w:rPr>
          <w:rFonts w:ascii="Calibri" w:hAnsi="Calibri" w:cs="Calibri"/>
          <w:b/>
          <w:bCs/>
          <w:sz w:val="22"/>
          <w:szCs w:val="22"/>
        </w:rPr>
      </w:pPr>
      <w:r w:rsidRPr="00D51220">
        <w:rPr>
          <w:rFonts w:ascii="Calibri" w:hAnsi="Calibri" w:cs="Calibri"/>
          <w:b/>
          <w:bCs/>
          <w:sz w:val="22"/>
          <w:szCs w:val="22"/>
        </w:rPr>
        <w:t xml:space="preserve">4. Risks Identified </w:t>
      </w:r>
    </w:p>
    <w:p w14:paraId="7AB7C44F" w14:textId="6D3C6451" w:rsidR="0058390C" w:rsidRDefault="00D51220" w:rsidP="0058390C">
      <w:pPr>
        <w:spacing w:after="108" w:line="240" w:lineRule="auto"/>
        <w:ind w:firstLine="0"/>
        <w:rPr>
          <w:rFonts w:ascii="Calibri" w:hAnsi="Calibri" w:cs="Calibri"/>
          <w:sz w:val="22"/>
          <w:szCs w:val="22"/>
        </w:rPr>
      </w:pPr>
      <w:r w:rsidRPr="00D51220">
        <w:rPr>
          <w:rFonts w:ascii="Calibri" w:hAnsi="Calibri" w:cs="Calibri"/>
          <w:sz w:val="22"/>
          <w:szCs w:val="22"/>
        </w:rPr>
        <w:t>Key infection prevention and control risks for the Priory Centre include seasonal respiratory illnesses and the increased likelihood of transmission associated with high public footfall and visitor turnover. Maintaining consistent hand hygiene, PPE use, and effective environmental cleaning of high</w:t>
      </w:r>
      <w:r w:rsidRPr="00D51220">
        <w:rPr>
          <w:rFonts w:ascii="Calibri" w:hAnsi="Calibri" w:cs="Calibri"/>
          <w:sz w:val="22"/>
          <w:szCs w:val="22"/>
        </w:rPr>
        <w:noBreakHyphen/>
        <w:t>touch surfaces and shared equipment remains essential in line with CQC expectations for safe IPC systems, routine audits, cleaning schedules, and staff training. Additional operational risks include sharps safety and correct clinical waste segregation, which carry potential injury and contamination hazards.</w:t>
      </w:r>
      <w:r w:rsidR="0058390C">
        <w:rPr>
          <w:rFonts w:ascii="Calibri" w:hAnsi="Calibri" w:cs="Calibri"/>
          <w:sz w:val="22"/>
          <w:szCs w:val="22"/>
        </w:rPr>
        <w:t xml:space="preserve"> </w:t>
      </w:r>
      <w:r w:rsidR="0058390C" w:rsidRPr="0058390C">
        <w:rPr>
          <w:rFonts w:ascii="Calibri" w:hAnsi="Calibri" w:cs="Calibri"/>
          <w:sz w:val="22"/>
          <w:szCs w:val="22"/>
        </w:rPr>
        <w:t>A Legionella Risk Assessment carried is out by a specialist sub-contractor based on ACOP-L8, HSG274 and HTM0401</w:t>
      </w:r>
      <w:r w:rsidR="0058390C">
        <w:rPr>
          <w:rFonts w:ascii="Calibri" w:hAnsi="Calibri" w:cs="Calibri"/>
          <w:sz w:val="22"/>
          <w:szCs w:val="22"/>
        </w:rPr>
        <w:t xml:space="preserve"> </w:t>
      </w:r>
      <w:r w:rsidR="0058390C" w:rsidRPr="0058390C">
        <w:rPr>
          <w:rFonts w:ascii="Calibri" w:hAnsi="Calibri" w:cs="Calibri"/>
          <w:sz w:val="22"/>
          <w:szCs w:val="22"/>
        </w:rPr>
        <w:t>guidelines</w:t>
      </w:r>
      <w:r w:rsidR="0058390C">
        <w:rPr>
          <w:rFonts w:ascii="Calibri" w:hAnsi="Calibri" w:cs="Calibri"/>
          <w:sz w:val="22"/>
          <w:szCs w:val="22"/>
        </w:rPr>
        <w:t xml:space="preserve"> and the specific requirements of the site</w:t>
      </w:r>
      <w:r w:rsidR="0058390C" w:rsidRPr="0058390C">
        <w:rPr>
          <w:rFonts w:ascii="Calibri" w:hAnsi="Calibri" w:cs="Calibri"/>
          <w:sz w:val="22"/>
          <w:szCs w:val="22"/>
        </w:rPr>
        <w:t>. Required tasks are carried out at the required intervals by trained/qualified staff with additional monitoring and required sampling carried out through a specialist sub-contractor.</w:t>
      </w:r>
      <w:r w:rsidR="0058390C">
        <w:rPr>
          <w:rFonts w:ascii="Calibri" w:hAnsi="Calibri" w:cs="Calibri"/>
          <w:sz w:val="22"/>
          <w:szCs w:val="22"/>
        </w:rPr>
        <w:t xml:space="preserve"> </w:t>
      </w:r>
      <w:r w:rsidR="0058390C" w:rsidRPr="0058390C">
        <w:rPr>
          <w:rFonts w:ascii="Calibri" w:hAnsi="Calibri" w:cs="Calibri"/>
          <w:sz w:val="22"/>
          <w:szCs w:val="22"/>
        </w:rPr>
        <w:t>All results are recorded and kept with a Site-specific water treatment logbook.</w:t>
      </w:r>
    </w:p>
    <w:p w14:paraId="0FF66D08" w14:textId="5FF55D2E" w:rsidR="00D51220" w:rsidRDefault="00D51220" w:rsidP="002D0E2D">
      <w:pPr>
        <w:spacing w:after="108" w:line="240" w:lineRule="auto"/>
        <w:ind w:firstLine="0"/>
        <w:rPr>
          <w:rFonts w:ascii="Calibri" w:hAnsi="Calibri" w:cs="Calibri"/>
          <w:sz w:val="22"/>
          <w:szCs w:val="22"/>
        </w:rPr>
      </w:pPr>
      <w:r w:rsidRPr="00D51220">
        <w:rPr>
          <w:rFonts w:ascii="Calibri" w:hAnsi="Calibri" w:cs="Calibri"/>
          <w:sz w:val="22"/>
          <w:szCs w:val="22"/>
        </w:rPr>
        <w:t>National surveillance shows a low</w:t>
      </w:r>
      <w:r w:rsidRPr="00D51220">
        <w:rPr>
          <w:rFonts w:ascii="Calibri" w:hAnsi="Calibri" w:cs="Calibri"/>
          <w:sz w:val="22"/>
          <w:szCs w:val="22"/>
        </w:rPr>
        <w:noBreakHyphen/>
        <w:t>level but ongoing background presence of measles in England, with 957 confirmed cases reported up to early January 2026, which represents a general population risk where vaccination uptake is reduced. Ensuring reliable documentation of room and equipment</w:t>
      </w:r>
      <w:r w:rsidRPr="00D51220">
        <w:rPr>
          <w:rFonts w:ascii="Calibri" w:hAnsi="Calibri" w:cs="Calibri"/>
          <w:b/>
          <w:bCs/>
          <w:sz w:val="22"/>
          <w:szCs w:val="22"/>
        </w:rPr>
        <w:t xml:space="preserve"> </w:t>
      </w:r>
      <w:r w:rsidRPr="00D51220">
        <w:rPr>
          <w:rFonts w:ascii="Calibri" w:hAnsi="Calibri" w:cs="Calibri"/>
          <w:sz w:val="22"/>
          <w:szCs w:val="22"/>
        </w:rPr>
        <w:t>cleaning and maintaining full IPC training</w:t>
      </w:r>
      <w:r w:rsidRPr="00D51220">
        <w:rPr>
          <w:rFonts w:ascii="Calibri" w:hAnsi="Calibri" w:cs="Calibri"/>
          <w:b/>
          <w:bCs/>
          <w:sz w:val="22"/>
          <w:szCs w:val="22"/>
        </w:rPr>
        <w:t xml:space="preserve"> </w:t>
      </w:r>
      <w:r w:rsidRPr="00D51220">
        <w:rPr>
          <w:rFonts w:ascii="Calibri" w:hAnsi="Calibri" w:cs="Calibri"/>
          <w:sz w:val="22"/>
          <w:szCs w:val="22"/>
        </w:rPr>
        <w:t>coverage for all staff, including sessional workers, remain critical to reducing preventable infection risks</w:t>
      </w:r>
    </w:p>
    <w:p w14:paraId="315E1FEE" w14:textId="77777777" w:rsidR="002D0E2D" w:rsidRDefault="002D0E2D" w:rsidP="002D0E2D">
      <w:pPr>
        <w:spacing w:after="108" w:line="240" w:lineRule="auto"/>
        <w:ind w:firstLine="0"/>
        <w:rPr>
          <w:rFonts w:ascii="Calibri" w:hAnsi="Calibri" w:cs="Calibri"/>
          <w:sz w:val="22"/>
          <w:szCs w:val="22"/>
        </w:rPr>
      </w:pPr>
    </w:p>
    <w:p w14:paraId="0923AF91" w14:textId="77777777" w:rsidR="00D51220" w:rsidRDefault="005B4FC4" w:rsidP="002D0E2D">
      <w:pPr>
        <w:spacing w:after="108" w:line="240" w:lineRule="auto"/>
        <w:ind w:firstLine="0"/>
        <w:rPr>
          <w:rFonts w:ascii="Calibri" w:hAnsi="Calibri" w:cs="Calibri"/>
          <w:b/>
          <w:bCs/>
          <w:sz w:val="22"/>
          <w:szCs w:val="22"/>
        </w:rPr>
      </w:pPr>
      <w:r w:rsidRPr="00D51220">
        <w:rPr>
          <w:rFonts w:ascii="Calibri" w:hAnsi="Calibri" w:cs="Calibri"/>
          <w:b/>
          <w:bCs/>
          <w:sz w:val="22"/>
          <w:szCs w:val="22"/>
        </w:rPr>
        <w:t xml:space="preserve">5. System Support &amp; Collaboration </w:t>
      </w:r>
    </w:p>
    <w:p w14:paraId="3AAC0157" w14:textId="0267DAB2" w:rsidR="0058390C" w:rsidRDefault="008F0C8B" w:rsidP="0058390C">
      <w:pPr>
        <w:spacing w:after="108" w:line="240" w:lineRule="auto"/>
        <w:ind w:firstLine="0"/>
        <w:rPr>
          <w:rFonts w:ascii="Calibri" w:hAnsi="Calibri" w:cs="Calibri"/>
          <w:sz w:val="22"/>
          <w:szCs w:val="22"/>
        </w:rPr>
      </w:pPr>
      <w:r w:rsidRPr="008F0C8B">
        <w:rPr>
          <w:rFonts w:ascii="Calibri" w:hAnsi="Calibri" w:cs="Calibri"/>
          <w:sz w:val="22"/>
          <w:szCs w:val="22"/>
        </w:rPr>
        <w:t xml:space="preserve">The </w:t>
      </w:r>
      <w:r w:rsidRPr="00D51220">
        <w:rPr>
          <w:rFonts w:ascii="Calibri" w:hAnsi="Calibri" w:cs="Calibri"/>
          <w:sz w:val="22"/>
          <w:szCs w:val="22"/>
        </w:rPr>
        <w:t>Chief Nurse</w:t>
      </w:r>
      <w:r w:rsidRPr="008F0C8B">
        <w:rPr>
          <w:rFonts w:ascii="Calibri" w:hAnsi="Calibri" w:cs="Calibri"/>
          <w:sz w:val="22"/>
          <w:szCs w:val="22"/>
        </w:rPr>
        <w:t xml:space="preserve"> </w:t>
      </w:r>
      <w:r w:rsidR="00B87441" w:rsidRPr="00D51220">
        <w:rPr>
          <w:rFonts w:ascii="Calibri" w:hAnsi="Calibri" w:cs="Calibri"/>
          <w:sz w:val="22"/>
          <w:szCs w:val="22"/>
        </w:rPr>
        <w:t xml:space="preserve">(IPC Lead) </w:t>
      </w:r>
      <w:r w:rsidRPr="008F0C8B">
        <w:rPr>
          <w:rFonts w:ascii="Calibri" w:hAnsi="Calibri" w:cs="Calibri"/>
          <w:sz w:val="22"/>
          <w:szCs w:val="22"/>
        </w:rPr>
        <w:t>works closely with the specialist IPC team, who provide expert advice, clinical guidance, and support with complex IPC queries. The specialist team also contributes to staff development by attending our educational sessions and helping to embed best practice across the service.</w:t>
      </w:r>
      <w:r w:rsidR="0058390C">
        <w:rPr>
          <w:rFonts w:ascii="Calibri" w:hAnsi="Calibri" w:cs="Calibri"/>
          <w:sz w:val="22"/>
          <w:szCs w:val="22"/>
        </w:rPr>
        <w:t xml:space="preserve"> </w:t>
      </w:r>
      <w:r w:rsidR="0058390C" w:rsidRPr="0058390C">
        <w:rPr>
          <w:rFonts w:ascii="Calibri" w:hAnsi="Calibri" w:cs="Calibri"/>
          <w:sz w:val="22"/>
          <w:szCs w:val="22"/>
        </w:rPr>
        <w:t>Staff can raise IPC concerns at any time through established reporting systems or directly with the IPC Lead, supporting an open and transparent safety culture.</w:t>
      </w:r>
    </w:p>
    <w:p w14:paraId="0F534F92" w14:textId="77777777" w:rsidR="002D0E2D" w:rsidRDefault="002D0E2D" w:rsidP="002D0E2D">
      <w:pPr>
        <w:spacing w:after="108" w:line="240" w:lineRule="auto"/>
        <w:ind w:firstLine="0"/>
        <w:rPr>
          <w:rFonts w:ascii="Calibri" w:hAnsi="Calibri" w:cs="Calibri"/>
          <w:sz w:val="22"/>
          <w:szCs w:val="22"/>
        </w:rPr>
      </w:pPr>
    </w:p>
    <w:p w14:paraId="7A950C2B" w14:textId="79446713" w:rsidR="007C0925" w:rsidRPr="00D51220" w:rsidRDefault="005B4FC4" w:rsidP="002D0E2D">
      <w:pPr>
        <w:spacing w:after="108" w:line="240" w:lineRule="auto"/>
        <w:ind w:firstLine="0"/>
        <w:rPr>
          <w:rFonts w:ascii="Calibri" w:hAnsi="Calibri" w:cs="Calibri"/>
          <w:b/>
          <w:bCs/>
          <w:sz w:val="22"/>
          <w:szCs w:val="22"/>
        </w:rPr>
      </w:pPr>
      <w:r w:rsidRPr="00D51220">
        <w:rPr>
          <w:rFonts w:ascii="Calibri" w:hAnsi="Calibri" w:cs="Calibri"/>
          <w:b/>
          <w:bCs/>
          <w:sz w:val="22"/>
          <w:szCs w:val="22"/>
        </w:rPr>
        <w:t xml:space="preserve">6. Staff Responsibilities </w:t>
      </w:r>
    </w:p>
    <w:p w14:paraId="115A1F05" w14:textId="39643964" w:rsidR="002D0E2D" w:rsidRDefault="00D51220" w:rsidP="002D0E2D">
      <w:pPr>
        <w:spacing w:after="106" w:line="240" w:lineRule="auto"/>
        <w:ind w:firstLine="0"/>
        <w:rPr>
          <w:rFonts w:ascii="Calibri" w:hAnsi="Calibri" w:cs="Calibri"/>
          <w:sz w:val="22"/>
          <w:szCs w:val="22"/>
        </w:rPr>
      </w:pPr>
      <w:r w:rsidRPr="00D51220">
        <w:rPr>
          <w:rFonts w:ascii="Calibri" w:hAnsi="Calibri" w:cs="Calibri"/>
          <w:sz w:val="22"/>
          <w:szCs w:val="22"/>
        </w:rPr>
        <w:t>Staff must always adhere to infection prevention and control guidance, maintain the required level of competence, report any identified risks promptly, and must not attend work when they are infectious</w:t>
      </w:r>
    </w:p>
    <w:p w14:paraId="2963B1AF" w14:textId="77777777" w:rsidR="002D0E2D" w:rsidRDefault="002D0E2D" w:rsidP="002D0E2D">
      <w:pPr>
        <w:spacing w:after="106" w:line="240" w:lineRule="auto"/>
        <w:ind w:firstLine="0"/>
        <w:rPr>
          <w:rFonts w:ascii="Calibri" w:hAnsi="Calibri" w:cs="Calibri"/>
          <w:sz w:val="22"/>
          <w:szCs w:val="22"/>
        </w:rPr>
      </w:pPr>
    </w:p>
    <w:p w14:paraId="5100DF7C" w14:textId="0CC7F603" w:rsidR="007C0925" w:rsidRPr="00D51220" w:rsidRDefault="005B4FC4" w:rsidP="002D0E2D">
      <w:pPr>
        <w:spacing w:after="106" w:line="240" w:lineRule="auto"/>
        <w:ind w:firstLine="0"/>
        <w:rPr>
          <w:rFonts w:ascii="Calibri" w:hAnsi="Calibri" w:cs="Calibri"/>
          <w:b/>
          <w:bCs/>
          <w:sz w:val="22"/>
          <w:szCs w:val="22"/>
        </w:rPr>
      </w:pPr>
      <w:r w:rsidRPr="00D51220">
        <w:rPr>
          <w:rFonts w:ascii="Calibri" w:hAnsi="Calibri" w:cs="Calibri"/>
          <w:b/>
          <w:bCs/>
          <w:sz w:val="22"/>
          <w:szCs w:val="22"/>
        </w:rPr>
        <w:t xml:space="preserve">7. Incident Identification &amp; Reporting </w:t>
      </w:r>
    </w:p>
    <w:p w14:paraId="594ECFAF" w14:textId="250049AF" w:rsidR="002D0E2D" w:rsidRDefault="00D51220" w:rsidP="002D0E2D">
      <w:pPr>
        <w:spacing w:after="106" w:line="240" w:lineRule="auto"/>
        <w:ind w:firstLine="0"/>
        <w:rPr>
          <w:rFonts w:ascii="Calibri" w:hAnsi="Calibri" w:cs="Calibri"/>
          <w:sz w:val="22"/>
          <w:szCs w:val="22"/>
        </w:rPr>
      </w:pPr>
      <w:r w:rsidRPr="00D51220">
        <w:rPr>
          <w:rFonts w:ascii="Calibri" w:hAnsi="Calibri" w:cs="Calibri"/>
          <w:sz w:val="22"/>
          <w:szCs w:val="22"/>
        </w:rPr>
        <w:t xml:space="preserve">A robust reporting culture is embedded across the organisation. All IPC concerns, observations and near misses are logged and reviewed through Clinical Governance. During the reporting period, repeated instances of incorrect clinical waste bin use were identified within the </w:t>
      </w:r>
      <w:r w:rsidR="002D0E2D">
        <w:rPr>
          <w:rFonts w:ascii="Calibri" w:hAnsi="Calibri" w:cs="Calibri"/>
          <w:sz w:val="22"/>
          <w:szCs w:val="22"/>
        </w:rPr>
        <w:t xml:space="preserve">service. </w:t>
      </w:r>
      <w:r w:rsidRPr="00D51220">
        <w:rPr>
          <w:rFonts w:ascii="Calibri" w:hAnsi="Calibri" w:cs="Calibri"/>
          <w:sz w:val="22"/>
          <w:szCs w:val="22"/>
        </w:rPr>
        <w:t>This remains an improvement priority and is being addressed through immediate staff feedback, reinforced waste</w:t>
      </w:r>
      <w:r w:rsidRPr="00D51220">
        <w:rPr>
          <w:rFonts w:ascii="Calibri" w:hAnsi="Calibri" w:cs="Calibri"/>
          <w:sz w:val="22"/>
          <w:szCs w:val="22"/>
        </w:rPr>
        <w:noBreakHyphen/>
        <w:t>segregation guidance, and targeted checks to ensure correct bins and labels are available at point of use. No significant infection transmission incidents occurred during the period</w:t>
      </w:r>
    </w:p>
    <w:p w14:paraId="623625E4" w14:textId="77777777" w:rsidR="002D0E2D" w:rsidRDefault="002D0E2D" w:rsidP="002D0E2D">
      <w:pPr>
        <w:spacing w:after="106" w:line="240" w:lineRule="auto"/>
        <w:ind w:firstLine="0"/>
        <w:rPr>
          <w:rFonts w:ascii="Calibri" w:hAnsi="Calibri" w:cs="Calibri"/>
          <w:sz w:val="22"/>
          <w:szCs w:val="22"/>
        </w:rPr>
      </w:pPr>
    </w:p>
    <w:p w14:paraId="6B9F7ED2" w14:textId="23A3ADC9" w:rsidR="007C0925" w:rsidRPr="002D0E2D" w:rsidRDefault="005B4FC4" w:rsidP="002D0E2D">
      <w:pPr>
        <w:spacing w:after="106" w:line="240" w:lineRule="auto"/>
        <w:ind w:firstLine="0"/>
        <w:rPr>
          <w:rFonts w:ascii="Calibri" w:hAnsi="Calibri" w:cs="Calibri"/>
          <w:b/>
          <w:bCs/>
          <w:sz w:val="22"/>
          <w:szCs w:val="22"/>
        </w:rPr>
      </w:pPr>
      <w:r w:rsidRPr="002D0E2D">
        <w:rPr>
          <w:rFonts w:ascii="Calibri" w:hAnsi="Calibri" w:cs="Calibri"/>
          <w:b/>
          <w:bCs/>
          <w:sz w:val="22"/>
          <w:szCs w:val="22"/>
        </w:rPr>
        <w:t xml:space="preserve">8. IPC Actions &amp; Improvements </w:t>
      </w:r>
    </w:p>
    <w:p w14:paraId="533325A6" w14:textId="77777777" w:rsidR="002D0E2D" w:rsidRPr="002D0E2D" w:rsidRDefault="002D0E2D" w:rsidP="002D0E2D">
      <w:pPr>
        <w:spacing w:after="106" w:line="259" w:lineRule="auto"/>
        <w:ind w:firstLine="0"/>
        <w:rPr>
          <w:rFonts w:ascii="Calibri" w:hAnsi="Calibri" w:cs="Calibri"/>
          <w:sz w:val="22"/>
          <w:szCs w:val="22"/>
        </w:rPr>
      </w:pPr>
      <w:r w:rsidRPr="002D0E2D">
        <w:rPr>
          <w:rFonts w:ascii="Calibri" w:hAnsi="Calibri" w:cs="Calibri"/>
          <w:sz w:val="22"/>
          <w:szCs w:val="22"/>
        </w:rPr>
        <w:t>IPC actions and improvements during the reporting period included strengthened audit processes, increased visibility and accessibility of IPC leadership across sites, enhanced winter preparedness measures, and updated outbreak management pathways in line with current national guidance. Targeted actions were also implemented in response to identified issues, including improved waste</w:t>
      </w:r>
      <w:r w:rsidRPr="002D0E2D">
        <w:rPr>
          <w:rFonts w:ascii="Calibri" w:hAnsi="Calibri" w:cs="Calibri"/>
          <w:sz w:val="22"/>
          <w:szCs w:val="22"/>
        </w:rPr>
        <w:noBreakHyphen/>
        <w:t>segregation controls within iHeart, focused staff reminders, and additional monitoring to ensure sustained compliance.</w:t>
      </w:r>
    </w:p>
    <w:p w14:paraId="52B103A0" w14:textId="2E5AD298" w:rsidR="007C0925" w:rsidRPr="00B87441" w:rsidRDefault="007C0925">
      <w:pPr>
        <w:spacing w:after="106" w:line="259" w:lineRule="auto"/>
        <w:ind w:firstLine="0"/>
        <w:rPr>
          <w:rFonts w:ascii="Calibri" w:hAnsi="Calibri" w:cs="Calibri"/>
          <w:sz w:val="22"/>
          <w:szCs w:val="22"/>
        </w:rPr>
      </w:pPr>
    </w:p>
    <w:p w14:paraId="6BE4F514" w14:textId="77777777" w:rsidR="007C0925" w:rsidRPr="00B87441" w:rsidRDefault="005B4FC4">
      <w:pPr>
        <w:pStyle w:val="Heading2"/>
        <w:ind w:left="471"/>
        <w:rPr>
          <w:rFonts w:ascii="Calibri" w:hAnsi="Calibri" w:cs="Calibri"/>
          <w:sz w:val="22"/>
          <w:szCs w:val="22"/>
        </w:rPr>
      </w:pPr>
      <w:r w:rsidRPr="00B87441">
        <w:rPr>
          <w:rFonts w:ascii="Calibri" w:hAnsi="Calibri" w:cs="Calibri"/>
          <w:sz w:val="22"/>
          <w:szCs w:val="22"/>
        </w:rPr>
        <w:t xml:space="preserve">9. Audit Programme (2025–2026) </w:t>
      </w:r>
    </w:p>
    <w:p w14:paraId="2000A2F0" w14:textId="61A0F449" w:rsidR="002D0E2D" w:rsidRPr="002D0E2D" w:rsidRDefault="002D0E2D" w:rsidP="002D0E2D">
      <w:pPr>
        <w:spacing w:after="106" w:line="259" w:lineRule="auto"/>
        <w:ind w:firstLine="0"/>
        <w:rPr>
          <w:rFonts w:ascii="Calibri" w:hAnsi="Calibri" w:cs="Calibri"/>
          <w:sz w:val="22"/>
          <w:szCs w:val="22"/>
        </w:rPr>
      </w:pPr>
      <w:r w:rsidRPr="002D0E2D">
        <w:rPr>
          <w:rFonts w:ascii="Calibri" w:hAnsi="Calibri" w:cs="Calibri"/>
          <w:sz w:val="22"/>
          <w:szCs w:val="22"/>
        </w:rPr>
        <w:t xml:space="preserve">The audit programme for 2025–2026 included the annual Infection Prevention and Control audit, alongside a schedule of quarterly internal audits covering environmental cleanliness, equipment decontamination, PPE compliance, and clinical waste management. </w:t>
      </w:r>
    </w:p>
    <w:p w14:paraId="56743B1F" w14:textId="5C15B9DD" w:rsidR="007C0925" w:rsidRPr="00B87441" w:rsidRDefault="007C0925">
      <w:pPr>
        <w:spacing w:after="106" w:line="259" w:lineRule="auto"/>
        <w:ind w:firstLine="0"/>
        <w:rPr>
          <w:rFonts w:ascii="Calibri" w:hAnsi="Calibri" w:cs="Calibri"/>
          <w:sz w:val="22"/>
          <w:szCs w:val="22"/>
        </w:rPr>
      </w:pPr>
    </w:p>
    <w:p w14:paraId="440CF5AB" w14:textId="77777777" w:rsidR="007C0925" w:rsidRPr="00B87441" w:rsidRDefault="005B4FC4">
      <w:pPr>
        <w:pStyle w:val="Heading2"/>
        <w:ind w:left="471"/>
        <w:rPr>
          <w:rFonts w:ascii="Calibri" w:hAnsi="Calibri" w:cs="Calibri"/>
          <w:sz w:val="22"/>
          <w:szCs w:val="22"/>
        </w:rPr>
      </w:pPr>
      <w:r w:rsidRPr="00B87441">
        <w:rPr>
          <w:rFonts w:ascii="Calibri" w:hAnsi="Calibri" w:cs="Calibri"/>
          <w:sz w:val="22"/>
          <w:szCs w:val="22"/>
        </w:rPr>
        <w:t xml:space="preserve">10. Risk Assessments </w:t>
      </w:r>
    </w:p>
    <w:p w14:paraId="770EA5D1" w14:textId="77777777" w:rsidR="002D0E2D" w:rsidRDefault="002D0E2D" w:rsidP="002D0E2D">
      <w:pPr>
        <w:spacing w:after="105" w:line="259" w:lineRule="auto"/>
        <w:ind w:firstLine="0"/>
        <w:rPr>
          <w:rFonts w:ascii="Calibri" w:hAnsi="Calibri" w:cs="Calibri"/>
          <w:sz w:val="22"/>
          <w:szCs w:val="22"/>
        </w:rPr>
      </w:pPr>
      <w:r w:rsidRPr="002D0E2D">
        <w:rPr>
          <w:rFonts w:ascii="Calibri" w:hAnsi="Calibri" w:cs="Calibri"/>
          <w:sz w:val="22"/>
          <w:szCs w:val="22"/>
        </w:rPr>
        <w:t>Risk assessments completed during 2025–2026 included Legionella and water safety checks, staff immunisation compliance, PPE requirements, clinical waste management, curtain and soft</w:t>
      </w:r>
      <w:r w:rsidRPr="002D0E2D">
        <w:rPr>
          <w:rFonts w:ascii="Calibri" w:hAnsi="Calibri" w:cs="Calibri"/>
          <w:sz w:val="22"/>
          <w:szCs w:val="22"/>
        </w:rPr>
        <w:noBreakHyphen/>
        <w:t>furnishing change schedules, outbreak management arrangements, and seasonal measures to support safe distancing and infection control within high</w:t>
      </w:r>
      <w:r w:rsidRPr="002D0E2D">
        <w:rPr>
          <w:rFonts w:ascii="Calibri" w:hAnsi="Calibri" w:cs="Calibri"/>
          <w:sz w:val="22"/>
          <w:szCs w:val="22"/>
        </w:rPr>
        <w:noBreakHyphen/>
        <w:t>footfall areas. These assessments form part of our routine compliance with the Health and Social Care Act 2008 Code of Practice</w:t>
      </w:r>
    </w:p>
    <w:p w14:paraId="08FBD697" w14:textId="408630E5" w:rsidR="007C0925" w:rsidRPr="002D0E2D" w:rsidRDefault="005B4FC4" w:rsidP="002D0E2D">
      <w:pPr>
        <w:spacing w:after="105" w:line="259" w:lineRule="auto"/>
        <w:ind w:firstLine="0"/>
        <w:rPr>
          <w:rFonts w:ascii="Calibri" w:hAnsi="Calibri" w:cs="Calibri"/>
          <w:b/>
          <w:bCs/>
          <w:sz w:val="22"/>
          <w:szCs w:val="22"/>
        </w:rPr>
      </w:pPr>
      <w:r w:rsidRPr="002D0E2D">
        <w:rPr>
          <w:rFonts w:ascii="Calibri" w:hAnsi="Calibri" w:cs="Calibri"/>
          <w:b/>
          <w:bCs/>
          <w:sz w:val="22"/>
          <w:szCs w:val="22"/>
        </w:rPr>
        <w:t xml:space="preserve">11. Training </w:t>
      </w:r>
    </w:p>
    <w:p w14:paraId="3838244B" w14:textId="77777777" w:rsidR="002D0E2D" w:rsidRPr="002D0E2D" w:rsidRDefault="002D0E2D" w:rsidP="002D0E2D">
      <w:pPr>
        <w:spacing w:after="105" w:line="259" w:lineRule="auto"/>
        <w:ind w:firstLine="0"/>
        <w:rPr>
          <w:rFonts w:ascii="Calibri" w:hAnsi="Calibri" w:cs="Calibri"/>
          <w:sz w:val="22"/>
          <w:szCs w:val="22"/>
        </w:rPr>
      </w:pPr>
      <w:r w:rsidRPr="002D0E2D">
        <w:rPr>
          <w:rFonts w:ascii="Calibri" w:hAnsi="Calibri" w:cs="Calibri"/>
          <w:sz w:val="22"/>
          <w:szCs w:val="22"/>
        </w:rPr>
        <w:t>All staff complete mandatory Infection Prevention and Control (IPC) training upon joining the organisation. Staff also provide a declaration confirming they will remain up to date with ongoing IPC refresher training. Training compliance is monitored through internal systems to ensure that staff maintain the required level of IPC competence.</w:t>
      </w:r>
    </w:p>
    <w:p w14:paraId="5C36C07F" w14:textId="045279DC" w:rsidR="007C0925" w:rsidRPr="00B87441" w:rsidRDefault="002D0E2D" w:rsidP="00B35CBA">
      <w:pPr>
        <w:spacing w:after="105" w:line="259" w:lineRule="auto"/>
        <w:ind w:firstLine="0"/>
        <w:rPr>
          <w:rFonts w:ascii="Calibri" w:hAnsi="Calibri" w:cs="Calibri"/>
          <w:sz w:val="22"/>
          <w:szCs w:val="22"/>
        </w:rPr>
      </w:pPr>
      <w:r w:rsidRPr="002D0E2D">
        <w:rPr>
          <w:rFonts w:ascii="Calibri" w:hAnsi="Calibri" w:cs="Calibri"/>
          <w:sz w:val="22"/>
          <w:szCs w:val="22"/>
        </w:rPr>
        <w:t>Updates and refresher content are provided through regular educational events, and staff have access to the Barnsley Hospital NHS Foundation Trust (BHNFT) specialist IPC website for current, evidence</w:t>
      </w:r>
      <w:r w:rsidRPr="002D0E2D">
        <w:rPr>
          <w:rFonts w:ascii="Calibri" w:hAnsi="Calibri" w:cs="Calibri"/>
          <w:sz w:val="22"/>
          <w:szCs w:val="22"/>
        </w:rPr>
        <w:noBreakHyphen/>
        <w:t>based guidance and resources. Equipment used for patient care is routinely checked to ensure it is fit for purpose and appropriately calibrated, supporting safe practice in line with IPC standards.</w:t>
      </w:r>
    </w:p>
    <w:p w14:paraId="3B83A247" w14:textId="77777777" w:rsidR="007C0925" w:rsidRPr="00B87441" w:rsidRDefault="005B4FC4" w:rsidP="00AE07FE">
      <w:pPr>
        <w:spacing w:after="100" w:line="265" w:lineRule="auto"/>
        <w:rPr>
          <w:rFonts w:ascii="Calibri" w:hAnsi="Calibri" w:cs="Calibri"/>
          <w:sz w:val="22"/>
          <w:szCs w:val="22"/>
        </w:rPr>
      </w:pPr>
      <w:r w:rsidRPr="00B87441">
        <w:rPr>
          <w:rFonts w:ascii="Calibri" w:hAnsi="Calibri" w:cs="Calibri"/>
          <w:b/>
          <w:sz w:val="22"/>
          <w:szCs w:val="22"/>
        </w:rPr>
        <w:t xml:space="preserve">Policies </w:t>
      </w:r>
    </w:p>
    <w:p w14:paraId="3363F3BA" w14:textId="6B198C8A" w:rsidR="007C0925" w:rsidRPr="00B87441" w:rsidRDefault="00AE07FE" w:rsidP="00B35CBA">
      <w:pPr>
        <w:spacing w:after="105" w:line="259" w:lineRule="auto"/>
        <w:ind w:firstLine="0"/>
        <w:rPr>
          <w:rFonts w:ascii="Calibri" w:hAnsi="Calibri" w:cs="Calibri"/>
          <w:sz w:val="22"/>
          <w:szCs w:val="22"/>
        </w:rPr>
      </w:pPr>
      <w:r w:rsidRPr="00AE07FE">
        <w:rPr>
          <w:rFonts w:ascii="Calibri" w:hAnsi="Calibri" w:cs="Calibri"/>
          <w:sz w:val="22"/>
          <w:szCs w:val="22"/>
        </w:rPr>
        <w:t>Infection Prevention and Control (IPC) policies are reviewed and updated annually to ensure alignment with current national guidance and best practice. Updated policies are made available to all staff via the BOB HR system, ensuring consistent access to the most recent IPC requirements across the organisation.</w:t>
      </w:r>
    </w:p>
    <w:p w14:paraId="1C89F64C" w14:textId="77777777" w:rsidR="007C0925" w:rsidRPr="00B87441" w:rsidRDefault="005B4FC4" w:rsidP="00AE07FE">
      <w:pPr>
        <w:spacing w:after="101" w:line="265" w:lineRule="auto"/>
        <w:rPr>
          <w:rFonts w:ascii="Calibri" w:hAnsi="Calibri" w:cs="Calibri"/>
          <w:sz w:val="22"/>
          <w:szCs w:val="22"/>
        </w:rPr>
      </w:pPr>
      <w:r w:rsidRPr="00B87441">
        <w:rPr>
          <w:rFonts w:ascii="Calibri" w:hAnsi="Calibri" w:cs="Calibri"/>
          <w:b/>
          <w:sz w:val="22"/>
          <w:szCs w:val="22"/>
        </w:rPr>
        <w:t xml:space="preserve">Review </w:t>
      </w:r>
    </w:p>
    <w:p w14:paraId="78274F84" w14:textId="77777777" w:rsidR="00AE07FE" w:rsidRDefault="00AE07FE" w:rsidP="00AE07FE">
      <w:pPr>
        <w:spacing w:after="279" w:line="259" w:lineRule="auto"/>
        <w:ind w:left="466" w:firstLine="0"/>
        <w:rPr>
          <w:rFonts w:ascii="Calibri" w:hAnsi="Calibri" w:cs="Calibri"/>
          <w:sz w:val="22"/>
          <w:szCs w:val="22"/>
        </w:rPr>
      </w:pPr>
      <w:r w:rsidRPr="00AE07FE">
        <w:rPr>
          <w:rFonts w:ascii="Calibri" w:hAnsi="Calibri" w:cs="Calibri"/>
          <w:sz w:val="22"/>
          <w:szCs w:val="22"/>
        </w:rPr>
        <w:t>This Annual Infection Prevention and Control Statement will be reviewed in January 2027</w:t>
      </w:r>
      <w:r>
        <w:rPr>
          <w:rFonts w:ascii="Calibri" w:hAnsi="Calibri" w:cs="Calibri"/>
          <w:sz w:val="22"/>
          <w:szCs w:val="22"/>
        </w:rPr>
        <w:t>.</w:t>
      </w:r>
    </w:p>
    <w:p w14:paraId="626D2815" w14:textId="77777777" w:rsidR="007C0925" w:rsidRPr="00B87441" w:rsidRDefault="005B4FC4">
      <w:pPr>
        <w:spacing w:after="0" w:line="259" w:lineRule="auto"/>
        <w:ind w:left="14" w:firstLine="0"/>
        <w:rPr>
          <w:rFonts w:ascii="Calibri" w:hAnsi="Calibri" w:cs="Calibri"/>
          <w:sz w:val="22"/>
          <w:szCs w:val="22"/>
        </w:rPr>
      </w:pPr>
      <w:r w:rsidRPr="00B87441">
        <w:rPr>
          <w:rFonts w:ascii="Calibri" w:hAnsi="Calibri" w:cs="Calibri"/>
          <w:color w:val="E36C0A"/>
          <w:sz w:val="22"/>
          <w:szCs w:val="22"/>
        </w:rPr>
        <w:t xml:space="preserve"> </w:t>
      </w:r>
      <w:r w:rsidRPr="00B87441">
        <w:rPr>
          <w:rFonts w:ascii="Calibri" w:hAnsi="Calibri" w:cs="Calibri"/>
          <w:sz w:val="22"/>
          <w:szCs w:val="22"/>
        </w:rPr>
        <w:t xml:space="preserve"> </w:t>
      </w:r>
    </w:p>
    <w:sectPr w:rsidR="007C0925" w:rsidRPr="00B87441">
      <w:pgSz w:w="11911" w:h="16841"/>
      <w:pgMar w:top="1637" w:right="1382" w:bottom="105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ED1"/>
    <w:multiLevelType w:val="hybridMultilevel"/>
    <w:tmpl w:val="E29E64DC"/>
    <w:lvl w:ilvl="0" w:tplc="D4EC24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067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AEE2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2D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A75B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AC27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74E8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08E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B890B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FE79EE"/>
    <w:multiLevelType w:val="hybridMultilevel"/>
    <w:tmpl w:val="ECD0A240"/>
    <w:lvl w:ilvl="0" w:tplc="1FC40190">
      <w:start w:val="12"/>
      <w:numFmt w:val="decimal"/>
      <w:lvlText w:val="%1."/>
      <w:lvlJc w:val="left"/>
      <w:pPr>
        <w:ind w:left="8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DE8C6D6">
      <w:start w:val="1"/>
      <w:numFmt w:val="lowerLetter"/>
      <w:lvlText w:val="%2"/>
      <w:lvlJc w:val="left"/>
      <w:pPr>
        <w:ind w:left="1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CB88E14">
      <w:start w:val="1"/>
      <w:numFmt w:val="lowerRoman"/>
      <w:lvlText w:val="%3"/>
      <w:lvlJc w:val="left"/>
      <w:pPr>
        <w:ind w:left="2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3CF896">
      <w:start w:val="1"/>
      <w:numFmt w:val="decimal"/>
      <w:lvlText w:val="%4"/>
      <w:lvlJc w:val="left"/>
      <w:pPr>
        <w:ind w:left="2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5623C08">
      <w:start w:val="1"/>
      <w:numFmt w:val="lowerLetter"/>
      <w:lvlText w:val="%5"/>
      <w:lvlJc w:val="left"/>
      <w:pPr>
        <w:ind w:left="3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DCAD52">
      <w:start w:val="1"/>
      <w:numFmt w:val="lowerRoman"/>
      <w:lvlText w:val="%6"/>
      <w:lvlJc w:val="left"/>
      <w:pPr>
        <w:ind w:left="4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DCE14C">
      <w:start w:val="1"/>
      <w:numFmt w:val="decimal"/>
      <w:lvlText w:val="%7"/>
      <w:lvlJc w:val="left"/>
      <w:pPr>
        <w:ind w:left="5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BCC05EA">
      <w:start w:val="1"/>
      <w:numFmt w:val="lowerLetter"/>
      <w:lvlText w:val="%8"/>
      <w:lvlJc w:val="left"/>
      <w:pPr>
        <w:ind w:left="5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A6D942">
      <w:start w:val="1"/>
      <w:numFmt w:val="lowerRoman"/>
      <w:lvlText w:val="%9"/>
      <w:lvlJc w:val="left"/>
      <w:pPr>
        <w:ind w:left="6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661A62"/>
    <w:multiLevelType w:val="hybridMultilevel"/>
    <w:tmpl w:val="A916274A"/>
    <w:lvl w:ilvl="0" w:tplc="C3448D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8450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F258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26ED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02A2D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D406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80B7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EE83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E8A2D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0F4266"/>
    <w:multiLevelType w:val="hybridMultilevel"/>
    <w:tmpl w:val="097C34E0"/>
    <w:lvl w:ilvl="0" w:tplc="D8E2FA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2497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4641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70E3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EF5B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FAC9A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C4DD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803A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96F5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247FC5"/>
    <w:multiLevelType w:val="hybridMultilevel"/>
    <w:tmpl w:val="20581032"/>
    <w:lvl w:ilvl="0" w:tplc="B0B0F7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7E9A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0E0E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CADE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2E961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7E60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4E85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ACE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C2ADE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84147805">
    <w:abstractNumId w:val="1"/>
  </w:num>
  <w:num w:numId="2" w16cid:durableId="614099257">
    <w:abstractNumId w:val="4"/>
  </w:num>
  <w:num w:numId="3" w16cid:durableId="1393431444">
    <w:abstractNumId w:val="2"/>
  </w:num>
  <w:num w:numId="4" w16cid:durableId="38018944">
    <w:abstractNumId w:val="0"/>
  </w:num>
  <w:num w:numId="5" w16cid:durableId="1011684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25"/>
    <w:rsid w:val="002D0E2D"/>
    <w:rsid w:val="00346F12"/>
    <w:rsid w:val="003D5460"/>
    <w:rsid w:val="0052297D"/>
    <w:rsid w:val="0058390C"/>
    <w:rsid w:val="005B4FC4"/>
    <w:rsid w:val="00656E32"/>
    <w:rsid w:val="00680B20"/>
    <w:rsid w:val="007C0925"/>
    <w:rsid w:val="008F0C8B"/>
    <w:rsid w:val="00A7218D"/>
    <w:rsid w:val="00A85420"/>
    <w:rsid w:val="00AE07FE"/>
    <w:rsid w:val="00B35CBA"/>
    <w:rsid w:val="00B610C3"/>
    <w:rsid w:val="00B87441"/>
    <w:rsid w:val="00D51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9E55"/>
  <w15:docId w15:val="{FDB751E2-0C07-430B-BCD6-86B5D9B3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320" w:lineRule="auto"/>
      <w:ind w:left="476" w:hanging="10"/>
    </w:pPr>
    <w:rPr>
      <w:rFonts w:ascii="Arial" w:eastAsia="Arial" w:hAnsi="Arial" w:cs="Arial"/>
      <w:color w:val="000000"/>
    </w:rPr>
  </w:style>
  <w:style w:type="paragraph" w:styleId="Heading1">
    <w:name w:val="heading 1"/>
    <w:next w:val="Normal"/>
    <w:link w:val="Heading1Char"/>
    <w:uiPriority w:val="9"/>
    <w:qFormat/>
    <w:pPr>
      <w:keepNext/>
      <w:keepLines/>
      <w:spacing w:after="60" w:line="265"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60" w:line="265"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9583">
      <w:bodyDiv w:val="1"/>
      <w:marLeft w:val="0"/>
      <w:marRight w:val="0"/>
      <w:marTop w:val="0"/>
      <w:marBottom w:val="0"/>
      <w:divBdr>
        <w:top w:val="none" w:sz="0" w:space="0" w:color="auto"/>
        <w:left w:val="none" w:sz="0" w:space="0" w:color="auto"/>
        <w:bottom w:val="none" w:sz="0" w:space="0" w:color="auto"/>
        <w:right w:val="none" w:sz="0" w:space="0" w:color="auto"/>
      </w:divBdr>
      <w:divsChild>
        <w:div w:id="2017656915">
          <w:marLeft w:val="0"/>
          <w:marRight w:val="0"/>
          <w:marTop w:val="0"/>
          <w:marBottom w:val="0"/>
          <w:divBdr>
            <w:top w:val="none" w:sz="0" w:space="0" w:color="auto"/>
            <w:left w:val="none" w:sz="0" w:space="0" w:color="auto"/>
            <w:bottom w:val="none" w:sz="0" w:space="0" w:color="auto"/>
            <w:right w:val="none" w:sz="0" w:space="0" w:color="auto"/>
          </w:divBdr>
        </w:div>
      </w:divsChild>
    </w:div>
    <w:div w:id="67190338">
      <w:bodyDiv w:val="1"/>
      <w:marLeft w:val="0"/>
      <w:marRight w:val="0"/>
      <w:marTop w:val="0"/>
      <w:marBottom w:val="0"/>
      <w:divBdr>
        <w:top w:val="none" w:sz="0" w:space="0" w:color="auto"/>
        <w:left w:val="none" w:sz="0" w:space="0" w:color="auto"/>
        <w:bottom w:val="none" w:sz="0" w:space="0" w:color="auto"/>
        <w:right w:val="none" w:sz="0" w:space="0" w:color="auto"/>
      </w:divBdr>
      <w:divsChild>
        <w:div w:id="520246241">
          <w:marLeft w:val="0"/>
          <w:marRight w:val="0"/>
          <w:marTop w:val="0"/>
          <w:marBottom w:val="0"/>
          <w:divBdr>
            <w:top w:val="none" w:sz="0" w:space="0" w:color="auto"/>
            <w:left w:val="none" w:sz="0" w:space="0" w:color="auto"/>
            <w:bottom w:val="none" w:sz="0" w:space="0" w:color="auto"/>
            <w:right w:val="none" w:sz="0" w:space="0" w:color="auto"/>
          </w:divBdr>
        </w:div>
      </w:divsChild>
    </w:div>
    <w:div w:id="109517802">
      <w:bodyDiv w:val="1"/>
      <w:marLeft w:val="0"/>
      <w:marRight w:val="0"/>
      <w:marTop w:val="0"/>
      <w:marBottom w:val="0"/>
      <w:divBdr>
        <w:top w:val="none" w:sz="0" w:space="0" w:color="auto"/>
        <w:left w:val="none" w:sz="0" w:space="0" w:color="auto"/>
        <w:bottom w:val="none" w:sz="0" w:space="0" w:color="auto"/>
        <w:right w:val="none" w:sz="0" w:space="0" w:color="auto"/>
      </w:divBdr>
      <w:divsChild>
        <w:div w:id="1760518478">
          <w:marLeft w:val="0"/>
          <w:marRight w:val="0"/>
          <w:marTop w:val="0"/>
          <w:marBottom w:val="0"/>
          <w:divBdr>
            <w:top w:val="none" w:sz="0" w:space="0" w:color="auto"/>
            <w:left w:val="none" w:sz="0" w:space="0" w:color="auto"/>
            <w:bottom w:val="none" w:sz="0" w:space="0" w:color="auto"/>
            <w:right w:val="none" w:sz="0" w:space="0" w:color="auto"/>
          </w:divBdr>
        </w:div>
      </w:divsChild>
    </w:div>
    <w:div w:id="133332495">
      <w:bodyDiv w:val="1"/>
      <w:marLeft w:val="0"/>
      <w:marRight w:val="0"/>
      <w:marTop w:val="0"/>
      <w:marBottom w:val="0"/>
      <w:divBdr>
        <w:top w:val="none" w:sz="0" w:space="0" w:color="auto"/>
        <w:left w:val="none" w:sz="0" w:space="0" w:color="auto"/>
        <w:bottom w:val="none" w:sz="0" w:space="0" w:color="auto"/>
        <w:right w:val="none" w:sz="0" w:space="0" w:color="auto"/>
      </w:divBdr>
      <w:divsChild>
        <w:div w:id="248587890">
          <w:marLeft w:val="0"/>
          <w:marRight w:val="0"/>
          <w:marTop w:val="0"/>
          <w:marBottom w:val="0"/>
          <w:divBdr>
            <w:top w:val="none" w:sz="0" w:space="0" w:color="auto"/>
            <w:left w:val="none" w:sz="0" w:space="0" w:color="auto"/>
            <w:bottom w:val="none" w:sz="0" w:space="0" w:color="auto"/>
            <w:right w:val="none" w:sz="0" w:space="0" w:color="auto"/>
          </w:divBdr>
        </w:div>
      </w:divsChild>
    </w:div>
    <w:div w:id="145709601">
      <w:bodyDiv w:val="1"/>
      <w:marLeft w:val="0"/>
      <w:marRight w:val="0"/>
      <w:marTop w:val="0"/>
      <w:marBottom w:val="0"/>
      <w:divBdr>
        <w:top w:val="none" w:sz="0" w:space="0" w:color="auto"/>
        <w:left w:val="none" w:sz="0" w:space="0" w:color="auto"/>
        <w:bottom w:val="none" w:sz="0" w:space="0" w:color="auto"/>
        <w:right w:val="none" w:sz="0" w:space="0" w:color="auto"/>
      </w:divBdr>
      <w:divsChild>
        <w:div w:id="891887311">
          <w:marLeft w:val="0"/>
          <w:marRight w:val="0"/>
          <w:marTop w:val="0"/>
          <w:marBottom w:val="0"/>
          <w:divBdr>
            <w:top w:val="none" w:sz="0" w:space="0" w:color="auto"/>
            <w:left w:val="none" w:sz="0" w:space="0" w:color="auto"/>
            <w:bottom w:val="none" w:sz="0" w:space="0" w:color="auto"/>
            <w:right w:val="none" w:sz="0" w:space="0" w:color="auto"/>
          </w:divBdr>
        </w:div>
      </w:divsChild>
    </w:div>
    <w:div w:id="228541405">
      <w:bodyDiv w:val="1"/>
      <w:marLeft w:val="0"/>
      <w:marRight w:val="0"/>
      <w:marTop w:val="0"/>
      <w:marBottom w:val="0"/>
      <w:divBdr>
        <w:top w:val="none" w:sz="0" w:space="0" w:color="auto"/>
        <w:left w:val="none" w:sz="0" w:space="0" w:color="auto"/>
        <w:bottom w:val="none" w:sz="0" w:space="0" w:color="auto"/>
        <w:right w:val="none" w:sz="0" w:space="0" w:color="auto"/>
      </w:divBdr>
      <w:divsChild>
        <w:div w:id="511071098">
          <w:marLeft w:val="0"/>
          <w:marRight w:val="0"/>
          <w:marTop w:val="0"/>
          <w:marBottom w:val="0"/>
          <w:divBdr>
            <w:top w:val="none" w:sz="0" w:space="0" w:color="auto"/>
            <w:left w:val="none" w:sz="0" w:space="0" w:color="auto"/>
            <w:bottom w:val="none" w:sz="0" w:space="0" w:color="auto"/>
            <w:right w:val="none" w:sz="0" w:space="0" w:color="auto"/>
          </w:divBdr>
        </w:div>
      </w:divsChild>
    </w:div>
    <w:div w:id="273096971">
      <w:bodyDiv w:val="1"/>
      <w:marLeft w:val="0"/>
      <w:marRight w:val="0"/>
      <w:marTop w:val="0"/>
      <w:marBottom w:val="0"/>
      <w:divBdr>
        <w:top w:val="none" w:sz="0" w:space="0" w:color="auto"/>
        <w:left w:val="none" w:sz="0" w:space="0" w:color="auto"/>
        <w:bottom w:val="none" w:sz="0" w:space="0" w:color="auto"/>
        <w:right w:val="none" w:sz="0" w:space="0" w:color="auto"/>
      </w:divBdr>
    </w:div>
    <w:div w:id="309215601">
      <w:bodyDiv w:val="1"/>
      <w:marLeft w:val="0"/>
      <w:marRight w:val="0"/>
      <w:marTop w:val="0"/>
      <w:marBottom w:val="0"/>
      <w:divBdr>
        <w:top w:val="none" w:sz="0" w:space="0" w:color="auto"/>
        <w:left w:val="none" w:sz="0" w:space="0" w:color="auto"/>
        <w:bottom w:val="none" w:sz="0" w:space="0" w:color="auto"/>
        <w:right w:val="none" w:sz="0" w:space="0" w:color="auto"/>
      </w:divBdr>
      <w:divsChild>
        <w:div w:id="628556363">
          <w:marLeft w:val="0"/>
          <w:marRight w:val="0"/>
          <w:marTop w:val="0"/>
          <w:marBottom w:val="0"/>
          <w:divBdr>
            <w:top w:val="none" w:sz="0" w:space="0" w:color="auto"/>
            <w:left w:val="none" w:sz="0" w:space="0" w:color="auto"/>
            <w:bottom w:val="none" w:sz="0" w:space="0" w:color="auto"/>
            <w:right w:val="none" w:sz="0" w:space="0" w:color="auto"/>
          </w:divBdr>
        </w:div>
      </w:divsChild>
    </w:div>
    <w:div w:id="359861167">
      <w:bodyDiv w:val="1"/>
      <w:marLeft w:val="0"/>
      <w:marRight w:val="0"/>
      <w:marTop w:val="0"/>
      <w:marBottom w:val="0"/>
      <w:divBdr>
        <w:top w:val="none" w:sz="0" w:space="0" w:color="auto"/>
        <w:left w:val="none" w:sz="0" w:space="0" w:color="auto"/>
        <w:bottom w:val="none" w:sz="0" w:space="0" w:color="auto"/>
        <w:right w:val="none" w:sz="0" w:space="0" w:color="auto"/>
      </w:divBdr>
      <w:divsChild>
        <w:div w:id="1434549307">
          <w:marLeft w:val="0"/>
          <w:marRight w:val="0"/>
          <w:marTop w:val="0"/>
          <w:marBottom w:val="0"/>
          <w:divBdr>
            <w:top w:val="none" w:sz="0" w:space="0" w:color="auto"/>
            <w:left w:val="none" w:sz="0" w:space="0" w:color="auto"/>
            <w:bottom w:val="none" w:sz="0" w:space="0" w:color="auto"/>
            <w:right w:val="none" w:sz="0" w:space="0" w:color="auto"/>
          </w:divBdr>
        </w:div>
      </w:divsChild>
    </w:div>
    <w:div w:id="379133800">
      <w:bodyDiv w:val="1"/>
      <w:marLeft w:val="0"/>
      <w:marRight w:val="0"/>
      <w:marTop w:val="0"/>
      <w:marBottom w:val="0"/>
      <w:divBdr>
        <w:top w:val="none" w:sz="0" w:space="0" w:color="auto"/>
        <w:left w:val="none" w:sz="0" w:space="0" w:color="auto"/>
        <w:bottom w:val="none" w:sz="0" w:space="0" w:color="auto"/>
        <w:right w:val="none" w:sz="0" w:space="0" w:color="auto"/>
      </w:divBdr>
      <w:divsChild>
        <w:div w:id="837156954">
          <w:marLeft w:val="0"/>
          <w:marRight w:val="0"/>
          <w:marTop w:val="0"/>
          <w:marBottom w:val="0"/>
          <w:divBdr>
            <w:top w:val="none" w:sz="0" w:space="0" w:color="auto"/>
            <w:left w:val="none" w:sz="0" w:space="0" w:color="auto"/>
            <w:bottom w:val="none" w:sz="0" w:space="0" w:color="auto"/>
            <w:right w:val="none" w:sz="0" w:space="0" w:color="auto"/>
          </w:divBdr>
        </w:div>
      </w:divsChild>
    </w:div>
    <w:div w:id="451291893">
      <w:bodyDiv w:val="1"/>
      <w:marLeft w:val="0"/>
      <w:marRight w:val="0"/>
      <w:marTop w:val="0"/>
      <w:marBottom w:val="0"/>
      <w:divBdr>
        <w:top w:val="none" w:sz="0" w:space="0" w:color="auto"/>
        <w:left w:val="none" w:sz="0" w:space="0" w:color="auto"/>
        <w:bottom w:val="none" w:sz="0" w:space="0" w:color="auto"/>
        <w:right w:val="none" w:sz="0" w:space="0" w:color="auto"/>
      </w:divBdr>
      <w:divsChild>
        <w:div w:id="834760782">
          <w:marLeft w:val="0"/>
          <w:marRight w:val="0"/>
          <w:marTop w:val="0"/>
          <w:marBottom w:val="0"/>
          <w:divBdr>
            <w:top w:val="none" w:sz="0" w:space="0" w:color="auto"/>
            <w:left w:val="none" w:sz="0" w:space="0" w:color="auto"/>
            <w:bottom w:val="none" w:sz="0" w:space="0" w:color="auto"/>
            <w:right w:val="none" w:sz="0" w:space="0" w:color="auto"/>
          </w:divBdr>
        </w:div>
      </w:divsChild>
    </w:div>
    <w:div w:id="658580861">
      <w:bodyDiv w:val="1"/>
      <w:marLeft w:val="0"/>
      <w:marRight w:val="0"/>
      <w:marTop w:val="0"/>
      <w:marBottom w:val="0"/>
      <w:divBdr>
        <w:top w:val="none" w:sz="0" w:space="0" w:color="auto"/>
        <w:left w:val="none" w:sz="0" w:space="0" w:color="auto"/>
        <w:bottom w:val="none" w:sz="0" w:space="0" w:color="auto"/>
        <w:right w:val="none" w:sz="0" w:space="0" w:color="auto"/>
      </w:divBdr>
      <w:divsChild>
        <w:div w:id="903179636">
          <w:marLeft w:val="0"/>
          <w:marRight w:val="0"/>
          <w:marTop w:val="0"/>
          <w:marBottom w:val="0"/>
          <w:divBdr>
            <w:top w:val="none" w:sz="0" w:space="0" w:color="auto"/>
            <w:left w:val="none" w:sz="0" w:space="0" w:color="auto"/>
            <w:bottom w:val="none" w:sz="0" w:space="0" w:color="auto"/>
            <w:right w:val="none" w:sz="0" w:space="0" w:color="auto"/>
          </w:divBdr>
        </w:div>
      </w:divsChild>
    </w:div>
    <w:div w:id="722947243">
      <w:bodyDiv w:val="1"/>
      <w:marLeft w:val="0"/>
      <w:marRight w:val="0"/>
      <w:marTop w:val="0"/>
      <w:marBottom w:val="0"/>
      <w:divBdr>
        <w:top w:val="none" w:sz="0" w:space="0" w:color="auto"/>
        <w:left w:val="none" w:sz="0" w:space="0" w:color="auto"/>
        <w:bottom w:val="none" w:sz="0" w:space="0" w:color="auto"/>
        <w:right w:val="none" w:sz="0" w:space="0" w:color="auto"/>
      </w:divBdr>
      <w:divsChild>
        <w:div w:id="232930202">
          <w:marLeft w:val="0"/>
          <w:marRight w:val="0"/>
          <w:marTop w:val="0"/>
          <w:marBottom w:val="0"/>
          <w:divBdr>
            <w:top w:val="none" w:sz="0" w:space="0" w:color="auto"/>
            <w:left w:val="none" w:sz="0" w:space="0" w:color="auto"/>
            <w:bottom w:val="none" w:sz="0" w:space="0" w:color="auto"/>
            <w:right w:val="none" w:sz="0" w:space="0" w:color="auto"/>
          </w:divBdr>
        </w:div>
      </w:divsChild>
    </w:div>
    <w:div w:id="742527542">
      <w:bodyDiv w:val="1"/>
      <w:marLeft w:val="0"/>
      <w:marRight w:val="0"/>
      <w:marTop w:val="0"/>
      <w:marBottom w:val="0"/>
      <w:divBdr>
        <w:top w:val="none" w:sz="0" w:space="0" w:color="auto"/>
        <w:left w:val="none" w:sz="0" w:space="0" w:color="auto"/>
        <w:bottom w:val="none" w:sz="0" w:space="0" w:color="auto"/>
        <w:right w:val="none" w:sz="0" w:space="0" w:color="auto"/>
      </w:divBdr>
      <w:divsChild>
        <w:div w:id="1234202102">
          <w:marLeft w:val="0"/>
          <w:marRight w:val="0"/>
          <w:marTop w:val="0"/>
          <w:marBottom w:val="0"/>
          <w:divBdr>
            <w:top w:val="none" w:sz="0" w:space="0" w:color="auto"/>
            <w:left w:val="none" w:sz="0" w:space="0" w:color="auto"/>
            <w:bottom w:val="none" w:sz="0" w:space="0" w:color="auto"/>
            <w:right w:val="none" w:sz="0" w:space="0" w:color="auto"/>
          </w:divBdr>
        </w:div>
      </w:divsChild>
    </w:div>
    <w:div w:id="779254494">
      <w:bodyDiv w:val="1"/>
      <w:marLeft w:val="0"/>
      <w:marRight w:val="0"/>
      <w:marTop w:val="0"/>
      <w:marBottom w:val="0"/>
      <w:divBdr>
        <w:top w:val="none" w:sz="0" w:space="0" w:color="auto"/>
        <w:left w:val="none" w:sz="0" w:space="0" w:color="auto"/>
        <w:bottom w:val="none" w:sz="0" w:space="0" w:color="auto"/>
        <w:right w:val="none" w:sz="0" w:space="0" w:color="auto"/>
      </w:divBdr>
      <w:divsChild>
        <w:div w:id="473988192">
          <w:marLeft w:val="0"/>
          <w:marRight w:val="0"/>
          <w:marTop w:val="0"/>
          <w:marBottom w:val="0"/>
          <w:divBdr>
            <w:top w:val="none" w:sz="0" w:space="0" w:color="auto"/>
            <w:left w:val="none" w:sz="0" w:space="0" w:color="auto"/>
            <w:bottom w:val="none" w:sz="0" w:space="0" w:color="auto"/>
            <w:right w:val="none" w:sz="0" w:space="0" w:color="auto"/>
          </w:divBdr>
        </w:div>
      </w:divsChild>
    </w:div>
    <w:div w:id="819539812">
      <w:bodyDiv w:val="1"/>
      <w:marLeft w:val="0"/>
      <w:marRight w:val="0"/>
      <w:marTop w:val="0"/>
      <w:marBottom w:val="0"/>
      <w:divBdr>
        <w:top w:val="none" w:sz="0" w:space="0" w:color="auto"/>
        <w:left w:val="none" w:sz="0" w:space="0" w:color="auto"/>
        <w:bottom w:val="none" w:sz="0" w:space="0" w:color="auto"/>
        <w:right w:val="none" w:sz="0" w:space="0" w:color="auto"/>
      </w:divBdr>
      <w:divsChild>
        <w:div w:id="1117874181">
          <w:marLeft w:val="0"/>
          <w:marRight w:val="0"/>
          <w:marTop w:val="0"/>
          <w:marBottom w:val="0"/>
          <w:divBdr>
            <w:top w:val="none" w:sz="0" w:space="0" w:color="auto"/>
            <w:left w:val="none" w:sz="0" w:space="0" w:color="auto"/>
            <w:bottom w:val="none" w:sz="0" w:space="0" w:color="auto"/>
            <w:right w:val="none" w:sz="0" w:space="0" w:color="auto"/>
          </w:divBdr>
        </w:div>
      </w:divsChild>
    </w:div>
    <w:div w:id="882063085">
      <w:bodyDiv w:val="1"/>
      <w:marLeft w:val="0"/>
      <w:marRight w:val="0"/>
      <w:marTop w:val="0"/>
      <w:marBottom w:val="0"/>
      <w:divBdr>
        <w:top w:val="none" w:sz="0" w:space="0" w:color="auto"/>
        <w:left w:val="none" w:sz="0" w:space="0" w:color="auto"/>
        <w:bottom w:val="none" w:sz="0" w:space="0" w:color="auto"/>
        <w:right w:val="none" w:sz="0" w:space="0" w:color="auto"/>
      </w:divBdr>
      <w:divsChild>
        <w:div w:id="2014186274">
          <w:marLeft w:val="0"/>
          <w:marRight w:val="0"/>
          <w:marTop w:val="0"/>
          <w:marBottom w:val="0"/>
          <w:divBdr>
            <w:top w:val="none" w:sz="0" w:space="0" w:color="auto"/>
            <w:left w:val="none" w:sz="0" w:space="0" w:color="auto"/>
            <w:bottom w:val="none" w:sz="0" w:space="0" w:color="auto"/>
            <w:right w:val="none" w:sz="0" w:space="0" w:color="auto"/>
          </w:divBdr>
        </w:div>
      </w:divsChild>
    </w:div>
    <w:div w:id="917059755">
      <w:bodyDiv w:val="1"/>
      <w:marLeft w:val="0"/>
      <w:marRight w:val="0"/>
      <w:marTop w:val="0"/>
      <w:marBottom w:val="0"/>
      <w:divBdr>
        <w:top w:val="none" w:sz="0" w:space="0" w:color="auto"/>
        <w:left w:val="none" w:sz="0" w:space="0" w:color="auto"/>
        <w:bottom w:val="none" w:sz="0" w:space="0" w:color="auto"/>
        <w:right w:val="none" w:sz="0" w:space="0" w:color="auto"/>
      </w:divBdr>
      <w:divsChild>
        <w:div w:id="1863395939">
          <w:marLeft w:val="0"/>
          <w:marRight w:val="0"/>
          <w:marTop w:val="0"/>
          <w:marBottom w:val="0"/>
          <w:divBdr>
            <w:top w:val="none" w:sz="0" w:space="0" w:color="auto"/>
            <w:left w:val="none" w:sz="0" w:space="0" w:color="auto"/>
            <w:bottom w:val="none" w:sz="0" w:space="0" w:color="auto"/>
            <w:right w:val="none" w:sz="0" w:space="0" w:color="auto"/>
          </w:divBdr>
        </w:div>
      </w:divsChild>
    </w:div>
    <w:div w:id="1145587757">
      <w:bodyDiv w:val="1"/>
      <w:marLeft w:val="0"/>
      <w:marRight w:val="0"/>
      <w:marTop w:val="0"/>
      <w:marBottom w:val="0"/>
      <w:divBdr>
        <w:top w:val="none" w:sz="0" w:space="0" w:color="auto"/>
        <w:left w:val="none" w:sz="0" w:space="0" w:color="auto"/>
        <w:bottom w:val="none" w:sz="0" w:space="0" w:color="auto"/>
        <w:right w:val="none" w:sz="0" w:space="0" w:color="auto"/>
      </w:divBdr>
      <w:divsChild>
        <w:div w:id="699746528">
          <w:marLeft w:val="0"/>
          <w:marRight w:val="0"/>
          <w:marTop w:val="0"/>
          <w:marBottom w:val="0"/>
          <w:divBdr>
            <w:top w:val="none" w:sz="0" w:space="0" w:color="auto"/>
            <w:left w:val="none" w:sz="0" w:space="0" w:color="auto"/>
            <w:bottom w:val="none" w:sz="0" w:space="0" w:color="auto"/>
            <w:right w:val="none" w:sz="0" w:space="0" w:color="auto"/>
          </w:divBdr>
        </w:div>
      </w:divsChild>
    </w:div>
    <w:div w:id="1227763622">
      <w:bodyDiv w:val="1"/>
      <w:marLeft w:val="0"/>
      <w:marRight w:val="0"/>
      <w:marTop w:val="0"/>
      <w:marBottom w:val="0"/>
      <w:divBdr>
        <w:top w:val="none" w:sz="0" w:space="0" w:color="auto"/>
        <w:left w:val="none" w:sz="0" w:space="0" w:color="auto"/>
        <w:bottom w:val="none" w:sz="0" w:space="0" w:color="auto"/>
        <w:right w:val="none" w:sz="0" w:space="0" w:color="auto"/>
      </w:divBdr>
    </w:div>
    <w:div w:id="1323390842">
      <w:bodyDiv w:val="1"/>
      <w:marLeft w:val="0"/>
      <w:marRight w:val="0"/>
      <w:marTop w:val="0"/>
      <w:marBottom w:val="0"/>
      <w:divBdr>
        <w:top w:val="none" w:sz="0" w:space="0" w:color="auto"/>
        <w:left w:val="none" w:sz="0" w:space="0" w:color="auto"/>
        <w:bottom w:val="none" w:sz="0" w:space="0" w:color="auto"/>
        <w:right w:val="none" w:sz="0" w:space="0" w:color="auto"/>
      </w:divBdr>
      <w:divsChild>
        <w:div w:id="851333288">
          <w:marLeft w:val="0"/>
          <w:marRight w:val="0"/>
          <w:marTop w:val="0"/>
          <w:marBottom w:val="0"/>
          <w:divBdr>
            <w:top w:val="none" w:sz="0" w:space="0" w:color="auto"/>
            <w:left w:val="none" w:sz="0" w:space="0" w:color="auto"/>
            <w:bottom w:val="none" w:sz="0" w:space="0" w:color="auto"/>
            <w:right w:val="none" w:sz="0" w:space="0" w:color="auto"/>
          </w:divBdr>
        </w:div>
      </w:divsChild>
    </w:div>
    <w:div w:id="1326518259">
      <w:bodyDiv w:val="1"/>
      <w:marLeft w:val="0"/>
      <w:marRight w:val="0"/>
      <w:marTop w:val="0"/>
      <w:marBottom w:val="0"/>
      <w:divBdr>
        <w:top w:val="none" w:sz="0" w:space="0" w:color="auto"/>
        <w:left w:val="none" w:sz="0" w:space="0" w:color="auto"/>
        <w:bottom w:val="none" w:sz="0" w:space="0" w:color="auto"/>
        <w:right w:val="none" w:sz="0" w:space="0" w:color="auto"/>
      </w:divBdr>
      <w:divsChild>
        <w:div w:id="1393891925">
          <w:marLeft w:val="0"/>
          <w:marRight w:val="0"/>
          <w:marTop w:val="0"/>
          <w:marBottom w:val="0"/>
          <w:divBdr>
            <w:top w:val="none" w:sz="0" w:space="0" w:color="auto"/>
            <w:left w:val="none" w:sz="0" w:space="0" w:color="auto"/>
            <w:bottom w:val="none" w:sz="0" w:space="0" w:color="auto"/>
            <w:right w:val="none" w:sz="0" w:space="0" w:color="auto"/>
          </w:divBdr>
        </w:div>
      </w:divsChild>
    </w:div>
    <w:div w:id="1461848269">
      <w:bodyDiv w:val="1"/>
      <w:marLeft w:val="0"/>
      <w:marRight w:val="0"/>
      <w:marTop w:val="0"/>
      <w:marBottom w:val="0"/>
      <w:divBdr>
        <w:top w:val="none" w:sz="0" w:space="0" w:color="auto"/>
        <w:left w:val="none" w:sz="0" w:space="0" w:color="auto"/>
        <w:bottom w:val="none" w:sz="0" w:space="0" w:color="auto"/>
        <w:right w:val="none" w:sz="0" w:space="0" w:color="auto"/>
      </w:divBdr>
      <w:divsChild>
        <w:div w:id="1797488267">
          <w:marLeft w:val="0"/>
          <w:marRight w:val="0"/>
          <w:marTop w:val="0"/>
          <w:marBottom w:val="0"/>
          <w:divBdr>
            <w:top w:val="none" w:sz="0" w:space="0" w:color="auto"/>
            <w:left w:val="none" w:sz="0" w:space="0" w:color="auto"/>
            <w:bottom w:val="none" w:sz="0" w:space="0" w:color="auto"/>
            <w:right w:val="none" w:sz="0" w:space="0" w:color="auto"/>
          </w:divBdr>
        </w:div>
      </w:divsChild>
    </w:div>
    <w:div w:id="1468621133">
      <w:bodyDiv w:val="1"/>
      <w:marLeft w:val="0"/>
      <w:marRight w:val="0"/>
      <w:marTop w:val="0"/>
      <w:marBottom w:val="0"/>
      <w:divBdr>
        <w:top w:val="none" w:sz="0" w:space="0" w:color="auto"/>
        <w:left w:val="none" w:sz="0" w:space="0" w:color="auto"/>
        <w:bottom w:val="none" w:sz="0" w:space="0" w:color="auto"/>
        <w:right w:val="none" w:sz="0" w:space="0" w:color="auto"/>
      </w:divBdr>
      <w:divsChild>
        <w:div w:id="893852426">
          <w:marLeft w:val="0"/>
          <w:marRight w:val="0"/>
          <w:marTop w:val="0"/>
          <w:marBottom w:val="0"/>
          <w:divBdr>
            <w:top w:val="none" w:sz="0" w:space="0" w:color="auto"/>
            <w:left w:val="none" w:sz="0" w:space="0" w:color="auto"/>
            <w:bottom w:val="none" w:sz="0" w:space="0" w:color="auto"/>
            <w:right w:val="none" w:sz="0" w:space="0" w:color="auto"/>
          </w:divBdr>
        </w:div>
      </w:divsChild>
    </w:div>
    <w:div w:id="1577209497">
      <w:bodyDiv w:val="1"/>
      <w:marLeft w:val="0"/>
      <w:marRight w:val="0"/>
      <w:marTop w:val="0"/>
      <w:marBottom w:val="0"/>
      <w:divBdr>
        <w:top w:val="none" w:sz="0" w:space="0" w:color="auto"/>
        <w:left w:val="none" w:sz="0" w:space="0" w:color="auto"/>
        <w:bottom w:val="none" w:sz="0" w:space="0" w:color="auto"/>
        <w:right w:val="none" w:sz="0" w:space="0" w:color="auto"/>
      </w:divBdr>
      <w:divsChild>
        <w:div w:id="1303001615">
          <w:marLeft w:val="0"/>
          <w:marRight w:val="0"/>
          <w:marTop w:val="0"/>
          <w:marBottom w:val="0"/>
          <w:divBdr>
            <w:top w:val="none" w:sz="0" w:space="0" w:color="auto"/>
            <w:left w:val="none" w:sz="0" w:space="0" w:color="auto"/>
            <w:bottom w:val="none" w:sz="0" w:space="0" w:color="auto"/>
            <w:right w:val="none" w:sz="0" w:space="0" w:color="auto"/>
          </w:divBdr>
        </w:div>
      </w:divsChild>
    </w:div>
    <w:div w:id="1594238575">
      <w:bodyDiv w:val="1"/>
      <w:marLeft w:val="0"/>
      <w:marRight w:val="0"/>
      <w:marTop w:val="0"/>
      <w:marBottom w:val="0"/>
      <w:divBdr>
        <w:top w:val="none" w:sz="0" w:space="0" w:color="auto"/>
        <w:left w:val="none" w:sz="0" w:space="0" w:color="auto"/>
        <w:bottom w:val="none" w:sz="0" w:space="0" w:color="auto"/>
        <w:right w:val="none" w:sz="0" w:space="0" w:color="auto"/>
      </w:divBdr>
      <w:divsChild>
        <w:div w:id="122309920">
          <w:marLeft w:val="0"/>
          <w:marRight w:val="0"/>
          <w:marTop w:val="0"/>
          <w:marBottom w:val="0"/>
          <w:divBdr>
            <w:top w:val="none" w:sz="0" w:space="0" w:color="auto"/>
            <w:left w:val="none" w:sz="0" w:space="0" w:color="auto"/>
            <w:bottom w:val="none" w:sz="0" w:space="0" w:color="auto"/>
            <w:right w:val="none" w:sz="0" w:space="0" w:color="auto"/>
          </w:divBdr>
        </w:div>
      </w:divsChild>
    </w:div>
    <w:div w:id="16802287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098">
          <w:marLeft w:val="0"/>
          <w:marRight w:val="0"/>
          <w:marTop w:val="0"/>
          <w:marBottom w:val="0"/>
          <w:divBdr>
            <w:top w:val="none" w:sz="0" w:space="0" w:color="auto"/>
            <w:left w:val="none" w:sz="0" w:space="0" w:color="auto"/>
            <w:bottom w:val="none" w:sz="0" w:space="0" w:color="auto"/>
            <w:right w:val="none" w:sz="0" w:space="0" w:color="auto"/>
          </w:divBdr>
        </w:div>
      </w:divsChild>
    </w:div>
    <w:div w:id="1716734177">
      <w:bodyDiv w:val="1"/>
      <w:marLeft w:val="0"/>
      <w:marRight w:val="0"/>
      <w:marTop w:val="0"/>
      <w:marBottom w:val="0"/>
      <w:divBdr>
        <w:top w:val="none" w:sz="0" w:space="0" w:color="auto"/>
        <w:left w:val="none" w:sz="0" w:space="0" w:color="auto"/>
        <w:bottom w:val="none" w:sz="0" w:space="0" w:color="auto"/>
        <w:right w:val="none" w:sz="0" w:space="0" w:color="auto"/>
      </w:divBdr>
      <w:divsChild>
        <w:div w:id="1129594744">
          <w:marLeft w:val="0"/>
          <w:marRight w:val="0"/>
          <w:marTop w:val="0"/>
          <w:marBottom w:val="0"/>
          <w:divBdr>
            <w:top w:val="none" w:sz="0" w:space="0" w:color="auto"/>
            <w:left w:val="none" w:sz="0" w:space="0" w:color="auto"/>
            <w:bottom w:val="none" w:sz="0" w:space="0" w:color="auto"/>
            <w:right w:val="none" w:sz="0" w:space="0" w:color="auto"/>
          </w:divBdr>
        </w:div>
      </w:divsChild>
    </w:div>
    <w:div w:id="1772313258">
      <w:bodyDiv w:val="1"/>
      <w:marLeft w:val="0"/>
      <w:marRight w:val="0"/>
      <w:marTop w:val="0"/>
      <w:marBottom w:val="0"/>
      <w:divBdr>
        <w:top w:val="none" w:sz="0" w:space="0" w:color="auto"/>
        <w:left w:val="none" w:sz="0" w:space="0" w:color="auto"/>
        <w:bottom w:val="none" w:sz="0" w:space="0" w:color="auto"/>
        <w:right w:val="none" w:sz="0" w:space="0" w:color="auto"/>
      </w:divBdr>
      <w:divsChild>
        <w:div w:id="919143780">
          <w:marLeft w:val="0"/>
          <w:marRight w:val="0"/>
          <w:marTop w:val="0"/>
          <w:marBottom w:val="0"/>
          <w:divBdr>
            <w:top w:val="none" w:sz="0" w:space="0" w:color="auto"/>
            <w:left w:val="none" w:sz="0" w:space="0" w:color="auto"/>
            <w:bottom w:val="none" w:sz="0" w:space="0" w:color="auto"/>
            <w:right w:val="none" w:sz="0" w:space="0" w:color="auto"/>
          </w:divBdr>
        </w:div>
      </w:divsChild>
    </w:div>
    <w:div w:id="1851481735">
      <w:bodyDiv w:val="1"/>
      <w:marLeft w:val="0"/>
      <w:marRight w:val="0"/>
      <w:marTop w:val="0"/>
      <w:marBottom w:val="0"/>
      <w:divBdr>
        <w:top w:val="none" w:sz="0" w:space="0" w:color="auto"/>
        <w:left w:val="none" w:sz="0" w:space="0" w:color="auto"/>
        <w:bottom w:val="none" w:sz="0" w:space="0" w:color="auto"/>
        <w:right w:val="none" w:sz="0" w:space="0" w:color="auto"/>
      </w:divBdr>
      <w:divsChild>
        <w:div w:id="383067011">
          <w:marLeft w:val="0"/>
          <w:marRight w:val="0"/>
          <w:marTop w:val="0"/>
          <w:marBottom w:val="0"/>
          <w:divBdr>
            <w:top w:val="none" w:sz="0" w:space="0" w:color="auto"/>
            <w:left w:val="none" w:sz="0" w:space="0" w:color="auto"/>
            <w:bottom w:val="none" w:sz="0" w:space="0" w:color="auto"/>
            <w:right w:val="none" w:sz="0" w:space="0" w:color="auto"/>
          </w:divBdr>
        </w:div>
      </w:divsChild>
    </w:div>
    <w:div w:id="1910534848">
      <w:bodyDiv w:val="1"/>
      <w:marLeft w:val="0"/>
      <w:marRight w:val="0"/>
      <w:marTop w:val="0"/>
      <w:marBottom w:val="0"/>
      <w:divBdr>
        <w:top w:val="none" w:sz="0" w:space="0" w:color="auto"/>
        <w:left w:val="none" w:sz="0" w:space="0" w:color="auto"/>
        <w:bottom w:val="none" w:sz="0" w:space="0" w:color="auto"/>
        <w:right w:val="none" w:sz="0" w:space="0" w:color="auto"/>
      </w:divBdr>
      <w:divsChild>
        <w:div w:id="1818456492">
          <w:marLeft w:val="0"/>
          <w:marRight w:val="0"/>
          <w:marTop w:val="0"/>
          <w:marBottom w:val="0"/>
          <w:divBdr>
            <w:top w:val="none" w:sz="0" w:space="0" w:color="auto"/>
            <w:left w:val="none" w:sz="0" w:space="0" w:color="auto"/>
            <w:bottom w:val="none" w:sz="0" w:space="0" w:color="auto"/>
            <w:right w:val="none" w:sz="0" w:space="0" w:color="auto"/>
          </w:divBdr>
        </w:div>
      </w:divsChild>
    </w:div>
    <w:div w:id="1947349567">
      <w:bodyDiv w:val="1"/>
      <w:marLeft w:val="0"/>
      <w:marRight w:val="0"/>
      <w:marTop w:val="0"/>
      <w:marBottom w:val="0"/>
      <w:divBdr>
        <w:top w:val="none" w:sz="0" w:space="0" w:color="auto"/>
        <w:left w:val="none" w:sz="0" w:space="0" w:color="auto"/>
        <w:bottom w:val="none" w:sz="0" w:space="0" w:color="auto"/>
        <w:right w:val="none" w:sz="0" w:space="0" w:color="auto"/>
      </w:divBdr>
      <w:divsChild>
        <w:div w:id="514225433">
          <w:marLeft w:val="0"/>
          <w:marRight w:val="0"/>
          <w:marTop w:val="0"/>
          <w:marBottom w:val="0"/>
          <w:divBdr>
            <w:top w:val="none" w:sz="0" w:space="0" w:color="auto"/>
            <w:left w:val="none" w:sz="0" w:space="0" w:color="auto"/>
            <w:bottom w:val="none" w:sz="0" w:space="0" w:color="auto"/>
            <w:right w:val="none" w:sz="0" w:space="0" w:color="auto"/>
          </w:divBdr>
        </w:div>
      </w:divsChild>
    </w:div>
    <w:div w:id="1989557616">
      <w:bodyDiv w:val="1"/>
      <w:marLeft w:val="0"/>
      <w:marRight w:val="0"/>
      <w:marTop w:val="0"/>
      <w:marBottom w:val="0"/>
      <w:divBdr>
        <w:top w:val="none" w:sz="0" w:space="0" w:color="auto"/>
        <w:left w:val="none" w:sz="0" w:space="0" w:color="auto"/>
        <w:bottom w:val="none" w:sz="0" w:space="0" w:color="auto"/>
        <w:right w:val="none" w:sz="0" w:space="0" w:color="auto"/>
      </w:divBdr>
      <w:divsChild>
        <w:div w:id="1699042596">
          <w:marLeft w:val="0"/>
          <w:marRight w:val="0"/>
          <w:marTop w:val="0"/>
          <w:marBottom w:val="0"/>
          <w:divBdr>
            <w:top w:val="none" w:sz="0" w:space="0" w:color="auto"/>
            <w:left w:val="none" w:sz="0" w:space="0" w:color="auto"/>
            <w:bottom w:val="none" w:sz="0" w:space="0" w:color="auto"/>
            <w:right w:val="none" w:sz="0" w:space="0" w:color="auto"/>
          </w:divBdr>
        </w:div>
      </w:divsChild>
    </w:div>
    <w:div w:id="2073775582">
      <w:bodyDiv w:val="1"/>
      <w:marLeft w:val="0"/>
      <w:marRight w:val="0"/>
      <w:marTop w:val="0"/>
      <w:marBottom w:val="0"/>
      <w:divBdr>
        <w:top w:val="none" w:sz="0" w:space="0" w:color="auto"/>
        <w:left w:val="none" w:sz="0" w:space="0" w:color="auto"/>
        <w:bottom w:val="none" w:sz="0" w:space="0" w:color="auto"/>
        <w:right w:val="none" w:sz="0" w:space="0" w:color="auto"/>
      </w:divBdr>
      <w:divsChild>
        <w:div w:id="477039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 Andrea (GOLDTHORPE MEDICAL CENTRE PMS PRACTICE)</dc:creator>
  <cp:keywords/>
  <cp:lastModifiedBy>SMITH, Emma (BHF LUNDWOOD SURGERY)</cp:lastModifiedBy>
  <cp:revision>2</cp:revision>
  <dcterms:created xsi:type="dcterms:W3CDTF">2026-02-04T15:38:00Z</dcterms:created>
  <dcterms:modified xsi:type="dcterms:W3CDTF">2026-02-04T15:38:00Z</dcterms:modified>
</cp:coreProperties>
</file>