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931" w14:textId="7039F2A0" w:rsidR="00AC5B6D" w:rsidRDefault="00317712" w:rsidP="00AC5B6D">
      <w:pPr>
        <w:jc w:val="center"/>
        <w:rPr>
          <w:b/>
          <w:bCs/>
          <w:sz w:val="24"/>
          <w:szCs w:val="24"/>
          <w:u w:val="single"/>
        </w:rPr>
      </w:pPr>
      <w:r w:rsidRPr="005E6FEC">
        <w:rPr>
          <w:rFonts w:ascii="Calibri" w:eastAsia="Calibri" w:hAnsi="Calibri" w:cs="Times New Roman"/>
          <w:color w:val="000000"/>
          <w:lang w:eastAsia="en-GB"/>
        </w:rPr>
        <w:fldChar w:fldCharType="begin"/>
      </w:r>
      <w:r w:rsidRPr="005E6FEC">
        <w:rPr>
          <w:rFonts w:ascii="Calibri" w:eastAsia="Calibri" w:hAnsi="Calibri" w:cs="Times New Roman"/>
          <w:color w:val="000000"/>
          <w:lang w:eastAsia="en-GB"/>
        </w:rPr>
        <w:instrText xml:space="preserve"> INCLUDEPICTURE  "cid:image001.png@01D8EDEC.3C1B8190" \* MERGEFORMATINET </w:instrText>
      </w:r>
      <w:r w:rsidRPr="005E6FEC">
        <w:rPr>
          <w:rFonts w:ascii="Calibri" w:eastAsia="Calibri" w:hAnsi="Calibri" w:cs="Times New Roman"/>
          <w:color w:val="000000"/>
          <w:lang w:eastAsia="en-GB"/>
        </w:rPr>
        <w:fldChar w:fldCharType="separate"/>
      </w:r>
      <w:r>
        <w:rPr>
          <w:rFonts w:ascii="Calibri" w:eastAsia="Calibri" w:hAnsi="Calibri" w:cs="Times New Roman"/>
          <w:color w:val="000000"/>
          <w:lang w:eastAsia="en-GB"/>
        </w:rPr>
        <w:fldChar w:fldCharType="begin"/>
      </w:r>
      <w:r>
        <w:rPr>
          <w:rFonts w:ascii="Calibri" w:eastAsia="Calibri" w:hAnsi="Calibri" w:cs="Times New Roman"/>
          <w:color w:val="000000"/>
          <w:lang w:eastAsia="en-GB"/>
        </w:rPr>
        <w:instrText xml:space="preserve"> INCLUDEPICTURE  "cid:image001.png@01D8EDEC.3C1B8190" \* MERGEFORMATINET </w:instrText>
      </w:r>
      <w:r>
        <w:rPr>
          <w:rFonts w:ascii="Calibri" w:eastAsia="Calibri" w:hAnsi="Calibri" w:cs="Times New Roman"/>
          <w:color w:val="000000"/>
          <w:lang w:eastAsia="en-GB"/>
        </w:rPr>
        <w:fldChar w:fldCharType="separate"/>
      </w:r>
      <w:r>
        <w:rPr>
          <w:rFonts w:ascii="Calibri" w:eastAsia="Calibri" w:hAnsi="Calibri" w:cs="Times New Roman"/>
          <w:color w:val="000000"/>
          <w:lang w:eastAsia="en-GB"/>
        </w:rPr>
        <w:fldChar w:fldCharType="begin"/>
      </w:r>
      <w:r>
        <w:rPr>
          <w:rFonts w:ascii="Calibri" w:eastAsia="Calibri" w:hAnsi="Calibri" w:cs="Times New Roman"/>
          <w:color w:val="000000"/>
          <w:lang w:eastAsia="en-GB"/>
        </w:rPr>
        <w:instrText xml:space="preserve"> INCLUDEPICTURE  "cid:image001.png@01D8EDEC.3C1B8190" \* MERGEFORMATINET </w:instrText>
      </w:r>
      <w:r>
        <w:rPr>
          <w:rFonts w:ascii="Calibri" w:eastAsia="Calibri" w:hAnsi="Calibri" w:cs="Times New Roman"/>
          <w:color w:val="000000"/>
          <w:lang w:eastAsia="en-GB"/>
        </w:rPr>
        <w:fldChar w:fldCharType="separate"/>
      </w:r>
      <w:r>
        <w:rPr>
          <w:rFonts w:ascii="Calibri" w:eastAsia="Calibri" w:hAnsi="Calibri" w:cs="Times New Roman"/>
          <w:color w:val="000000"/>
          <w:lang w:eastAsia="en-GB"/>
        </w:rPr>
        <w:fldChar w:fldCharType="begin"/>
      </w:r>
      <w:r>
        <w:rPr>
          <w:rFonts w:ascii="Calibri" w:eastAsia="Calibri" w:hAnsi="Calibri" w:cs="Times New Roman"/>
          <w:color w:val="000000"/>
          <w:lang w:eastAsia="en-GB"/>
        </w:rPr>
        <w:instrText xml:space="preserve"> INCLUDEPICTURE  "cid:image001.png@01D8EDEC.3C1B8190" \* MERGEFORMATINET </w:instrText>
      </w:r>
      <w:r>
        <w:rPr>
          <w:rFonts w:ascii="Calibri" w:eastAsia="Calibri" w:hAnsi="Calibri" w:cs="Times New Roman"/>
          <w:color w:val="000000"/>
          <w:lang w:eastAsia="en-GB"/>
        </w:rPr>
        <w:fldChar w:fldCharType="separate"/>
      </w:r>
      <w:r w:rsidR="00573EB7">
        <w:rPr>
          <w:rFonts w:ascii="Calibri" w:eastAsia="Calibri" w:hAnsi="Calibri" w:cs="Times New Roman"/>
          <w:color w:val="000000"/>
          <w:lang w:eastAsia="en-GB"/>
        </w:rPr>
        <w:fldChar w:fldCharType="begin"/>
      </w:r>
      <w:r w:rsidR="00573EB7">
        <w:rPr>
          <w:rFonts w:ascii="Calibri" w:eastAsia="Calibri" w:hAnsi="Calibri" w:cs="Times New Roman"/>
          <w:color w:val="000000"/>
          <w:lang w:eastAsia="en-GB"/>
        </w:rPr>
        <w:instrText xml:space="preserve"> INCLUDEPICTURE  "cid:image001.png@01D8EDEC.3C1B8190" \* MERGEFORMATINET </w:instrText>
      </w:r>
      <w:r w:rsidR="00573EB7">
        <w:rPr>
          <w:rFonts w:ascii="Calibri" w:eastAsia="Calibri" w:hAnsi="Calibri" w:cs="Times New Roman"/>
          <w:color w:val="000000"/>
          <w:lang w:eastAsia="en-GB"/>
        </w:rPr>
        <w:fldChar w:fldCharType="separate"/>
      </w:r>
      <w:r w:rsidR="00576824">
        <w:rPr>
          <w:rFonts w:ascii="Calibri" w:eastAsia="Calibri" w:hAnsi="Calibri" w:cs="Times New Roman"/>
          <w:color w:val="000000"/>
          <w:lang w:eastAsia="en-GB"/>
        </w:rPr>
        <w:fldChar w:fldCharType="begin"/>
      </w:r>
      <w:r w:rsidR="00576824">
        <w:rPr>
          <w:rFonts w:ascii="Calibri" w:eastAsia="Calibri" w:hAnsi="Calibri" w:cs="Times New Roman"/>
          <w:color w:val="000000"/>
          <w:lang w:eastAsia="en-GB"/>
        </w:rPr>
        <w:instrText xml:space="preserve"> </w:instrText>
      </w:r>
      <w:r w:rsidR="00576824">
        <w:rPr>
          <w:rFonts w:ascii="Calibri" w:eastAsia="Calibri" w:hAnsi="Calibri" w:cs="Times New Roman"/>
          <w:color w:val="000000"/>
          <w:lang w:eastAsia="en-GB"/>
        </w:rPr>
        <w:instrText>INCLUDEPICTURE  "cid:image001.png@01</w:instrText>
      </w:r>
      <w:r w:rsidR="00576824">
        <w:rPr>
          <w:rFonts w:ascii="Calibri" w:eastAsia="Calibri" w:hAnsi="Calibri" w:cs="Times New Roman"/>
          <w:color w:val="000000"/>
          <w:lang w:eastAsia="en-GB"/>
        </w:rPr>
        <w:instrText>D8EDEC.3C1B8190" \* MERGEFORMATINET</w:instrText>
      </w:r>
      <w:r w:rsidR="00576824">
        <w:rPr>
          <w:rFonts w:ascii="Calibri" w:eastAsia="Calibri" w:hAnsi="Calibri" w:cs="Times New Roman"/>
          <w:color w:val="000000"/>
          <w:lang w:eastAsia="en-GB"/>
        </w:rPr>
        <w:instrText xml:space="preserve"> </w:instrText>
      </w:r>
      <w:r w:rsidR="00576824">
        <w:rPr>
          <w:rFonts w:ascii="Calibri" w:eastAsia="Calibri" w:hAnsi="Calibri" w:cs="Times New Roman"/>
          <w:color w:val="000000"/>
          <w:lang w:eastAsia="en-GB"/>
        </w:rPr>
        <w:fldChar w:fldCharType="separate"/>
      </w:r>
      <w:r w:rsidR="00735542">
        <w:rPr>
          <w:rFonts w:ascii="Calibri" w:eastAsia="Calibri" w:hAnsi="Calibri" w:cs="Times New Roman"/>
          <w:color w:val="000000"/>
          <w:lang w:eastAsia="en-GB"/>
        </w:rPr>
        <w:pict w14:anchorId="5EB56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95.35pt;height:71.3pt">
            <v:imagedata r:id="rId4" r:href="rId5"/>
          </v:shape>
        </w:pict>
      </w:r>
      <w:r w:rsidR="00576824">
        <w:rPr>
          <w:rFonts w:ascii="Calibri" w:eastAsia="Calibri" w:hAnsi="Calibri" w:cs="Times New Roman"/>
          <w:color w:val="000000"/>
          <w:lang w:eastAsia="en-GB"/>
        </w:rPr>
        <w:fldChar w:fldCharType="end"/>
      </w:r>
      <w:r w:rsidR="00573EB7">
        <w:rPr>
          <w:rFonts w:ascii="Calibri" w:eastAsia="Calibri" w:hAnsi="Calibri" w:cs="Times New Roman"/>
          <w:color w:val="000000"/>
          <w:lang w:eastAsia="en-GB"/>
        </w:rPr>
        <w:fldChar w:fldCharType="end"/>
      </w:r>
      <w:r>
        <w:rPr>
          <w:rFonts w:ascii="Calibri" w:eastAsia="Calibri" w:hAnsi="Calibri" w:cs="Times New Roman"/>
          <w:color w:val="000000"/>
          <w:lang w:eastAsia="en-GB"/>
        </w:rPr>
        <w:fldChar w:fldCharType="end"/>
      </w:r>
      <w:r>
        <w:rPr>
          <w:rFonts w:ascii="Calibri" w:eastAsia="Calibri" w:hAnsi="Calibri" w:cs="Times New Roman"/>
          <w:color w:val="000000"/>
          <w:lang w:eastAsia="en-GB"/>
        </w:rPr>
        <w:fldChar w:fldCharType="end"/>
      </w:r>
      <w:r>
        <w:rPr>
          <w:rFonts w:ascii="Calibri" w:eastAsia="Calibri" w:hAnsi="Calibri" w:cs="Times New Roman"/>
          <w:color w:val="000000"/>
          <w:lang w:eastAsia="en-GB"/>
        </w:rPr>
        <w:fldChar w:fldCharType="end"/>
      </w:r>
      <w:r w:rsidRPr="005E6FEC">
        <w:rPr>
          <w:rFonts w:ascii="Calibri" w:eastAsia="Calibri" w:hAnsi="Calibri" w:cs="Times New Roman"/>
          <w:color w:val="000000"/>
          <w:lang w:eastAsia="en-GB"/>
        </w:rPr>
        <w:fldChar w:fldCharType="end"/>
      </w:r>
    </w:p>
    <w:p w14:paraId="17547342" w14:textId="77777777" w:rsidR="00AC5B6D" w:rsidRDefault="00AC5B6D" w:rsidP="00AC5B6D">
      <w:pPr>
        <w:jc w:val="center"/>
        <w:rPr>
          <w:b/>
          <w:bCs/>
          <w:sz w:val="24"/>
          <w:szCs w:val="24"/>
          <w:u w:val="single"/>
        </w:rPr>
      </w:pPr>
    </w:p>
    <w:p w14:paraId="723BF1A3" w14:textId="77156FB7" w:rsidR="00AC5B6D" w:rsidRDefault="00AC5B6D" w:rsidP="00AC5B6D">
      <w:pPr>
        <w:jc w:val="center"/>
        <w:rPr>
          <w:b/>
          <w:bCs/>
          <w:sz w:val="24"/>
          <w:szCs w:val="24"/>
          <w:u w:val="single"/>
        </w:rPr>
      </w:pPr>
      <w:r w:rsidRPr="00AC5B6D">
        <w:rPr>
          <w:b/>
          <w:bCs/>
          <w:sz w:val="24"/>
          <w:szCs w:val="24"/>
          <w:u w:val="single"/>
        </w:rPr>
        <w:t xml:space="preserve">Barnsley Healthcare Federation Gender Pay Gap Report </w:t>
      </w:r>
      <w:r w:rsidR="00D74439">
        <w:rPr>
          <w:b/>
          <w:bCs/>
          <w:sz w:val="24"/>
          <w:szCs w:val="24"/>
          <w:u w:val="single"/>
        </w:rPr>
        <w:t>2024</w:t>
      </w:r>
    </w:p>
    <w:p w14:paraId="5F046627" w14:textId="77777777" w:rsidR="00AC5B6D" w:rsidRPr="00AC5B6D" w:rsidRDefault="00AC5B6D" w:rsidP="00FA3D26">
      <w:pPr>
        <w:spacing w:after="0"/>
        <w:jc w:val="center"/>
        <w:rPr>
          <w:b/>
          <w:bCs/>
          <w:sz w:val="24"/>
          <w:szCs w:val="24"/>
          <w:u w:val="single"/>
        </w:rPr>
      </w:pPr>
    </w:p>
    <w:p w14:paraId="4787651E" w14:textId="58E6085C" w:rsidR="00AC5B6D" w:rsidRDefault="00AC5B6D" w:rsidP="00FA3D26">
      <w:pPr>
        <w:spacing w:after="0"/>
      </w:pPr>
      <w:r w:rsidRPr="00AC5B6D">
        <w:t xml:space="preserve">This report sets out </w:t>
      </w:r>
      <w:r>
        <w:t>Barnsley Healthcare Federation’s (BHF)</w:t>
      </w:r>
      <w:r w:rsidRPr="00AC5B6D">
        <w:t xml:space="preserve"> Gender Pay Gap statistics for </w:t>
      </w:r>
      <w:r w:rsidR="00D74439" w:rsidRPr="00D74439">
        <w:t xml:space="preserve">2023 </w:t>
      </w:r>
      <w:r w:rsidR="00D74439">
        <w:t>–</w:t>
      </w:r>
      <w:r w:rsidR="00D74439" w:rsidRPr="00D74439">
        <w:t xml:space="preserve"> 202</w:t>
      </w:r>
      <w:r w:rsidR="00D74439">
        <w:t>4.</w:t>
      </w:r>
    </w:p>
    <w:p w14:paraId="4054056B" w14:textId="77777777" w:rsidR="00FA3D26" w:rsidRDefault="00FA3D26" w:rsidP="00FA3D26">
      <w:pPr>
        <w:spacing w:after="0"/>
      </w:pPr>
    </w:p>
    <w:p w14:paraId="03AAB64A" w14:textId="3063EC27" w:rsidR="00D74439" w:rsidRDefault="00D74439" w:rsidP="00FA3D26">
      <w:pPr>
        <w:spacing w:after="0"/>
      </w:pPr>
      <w:r>
        <w:t xml:space="preserve">The number of relevant employees on the </w:t>
      </w:r>
      <w:proofErr w:type="gramStart"/>
      <w:r>
        <w:t>5</w:t>
      </w:r>
      <w:r w:rsidRPr="00D74439">
        <w:rPr>
          <w:vertAlign w:val="superscript"/>
        </w:rPr>
        <w:t>th</w:t>
      </w:r>
      <w:proofErr w:type="gramEnd"/>
      <w:r>
        <w:t xml:space="preserve"> April 2023 was </w:t>
      </w:r>
      <w:r w:rsidR="00E73023">
        <w:t>3</w:t>
      </w:r>
      <w:r w:rsidR="00554E72">
        <w:t>08</w:t>
      </w:r>
      <w:r w:rsidR="002A1E18">
        <w:t xml:space="preserve"> </w:t>
      </w:r>
      <w:r w:rsidR="00E73023">
        <w:t>of which 2</w:t>
      </w:r>
      <w:r w:rsidR="00554E72">
        <w:t>38</w:t>
      </w:r>
      <w:r w:rsidR="00E73023">
        <w:t xml:space="preserve"> were female and 7</w:t>
      </w:r>
      <w:r w:rsidR="00735542">
        <w:t>0</w:t>
      </w:r>
      <w:r w:rsidR="00E73023">
        <w:t xml:space="preserve"> were male. </w:t>
      </w:r>
    </w:p>
    <w:p w14:paraId="04AFA9B6" w14:textId="77777777" w:rsidR="00FA3D26" w:rsidRDefault="00FA3D26" w:rsidP="00FA3D26">
      <w:pPr>
        <w:spacing w:after="0"/>
      </w:pPr>
    </w:p>
    <w:p w14:paraId="14DD10AB" w14:textId="1E79AFCD" w:rsidR="00E73023" w:rsidRDefault="00E73023" w:rsidP="00FA3D26">
      <w:pPr>
        <w:spacing w:after="0"/>
      </w:pPr>
      <w:r>
        <w:t>BHF</w:t>
      </w:r>
      <w:r w:rsidRPr="00AC5B6D">
        <w:t xml:space="preserve"> is committed to treating all our employees equally irrespective of protected characteristics and believe</w:t>
      </w:r>
      <w:r>
        <w:t>s</w:t>
      </w:r>
      <w:r w:rsidRPr="00AC5B6D">
        <w:t xml:space="preserve"> in creating an inclusive workplace where everyone is encouraged to thrive at work to the best of their ability.</w:t>
      </w:r>
    </w:p>
    <w:p w14:paraId="5F12DF13" w14:textId="77777777" w:rsidR="00FA3D26" w:rsidRDefault="00FA3D26" w:rsidP="00FA3D26">
      <w:pPr>
        <w:spacing w:after="0"/>
      </w:pPr>
    </w:p>
    <w:p w14:paraId="458FE8A8" w14:textId="1815DB35" w:rsidR="00E73023" w:rsidRDefault="00E73023" w:rsidP="00FA3D26">
      <w:pPr>
        <w:spacing w:after="0"/>
      </w:pPr>
      <w:r>
        <w:t>As demonstrated below, BHF has carried out all six statutory calculations which I can confirm are based on accurate data.</w:t>
      </w:r>
    </w:p>
    <w:p w14:paraId="3CF8E673" w14:textId="77777777" w:rsidR="00FA3D26" w:rsidRDefault="00FA3D26" w:rsidP="00FA3D26">
      <w:pPr>
        <w:spacing w:after="0"/>
      </w:pPr>
    </w:p>
    <w:p w14:paraId="11B374C0" w14:textId="73184C0C" w:rsidR="00FA3D26" w:rsidRDefault="00AC5B6D" w:rsidP="00FA3D26">
      <w:pPr>
        <w:spacing w:after="0"/>
      </w:pPr>
      <w:r>
        <w:t>W</w:t>
      </w:r>
      <w:r w:rsidRPr="00AC5B6D">
        <w:t xml:space="preserve">e are confident that the gap does </w:t>
      </w:r>
      <w:r w:rsidR="001655C4" w:rsidRPr="00AC5B6D">
        <w:t>not</w:t>
      </w:r>
      <w:r w:rsidRPr="00AC5B6D">
        <w:t xml:space="preserve"> stem from paying male and female employees differently for the same or similar work, rather it reflects the demographic split across different jobs and is broadly typical of the healthcare sector.</w:t>
      </w:r>
    </w:p>
    <w:p w14:paraId="784C7617" w14:textId="77777777" w:rsidR="00FA3D26" w:rsidRDefault="00FA3D26" w:rsidP="00FA3D26">
      <w:pPr>
        <w:spacing w:after="0"/>
      </w:pPr>
    </w:p>
    <w:p w14:paraId="10B6AA2A" w14:textId="232B375F" w:rsidR="00AC5B6D" w:rsidRDefault="00E73023" w:rsidP="00FA3D26">
      <w:pPr>
        <w:spacing w:after="0"/>
      </w:pPr>
      <w:r>
        <w:t>Across all quartiles, we predominantly employ women, and this has affected the median and mean calculations.</w:t>
      </w:r>
    </w:p>
    <w:p w14:paraId="60CB1FD9" w14:textId="77777777" w:rsidR="00FA3D26" w:rsidRDefault="00FA3D26" w:rsidP="00FA3D26">
      <w:pPr>
        <w:spacing w:after="0"/>
      </w:pPr>
    </w:p>
    <w:p w14:paraId="317EABA0" w14:textId="4DD37D8E" w:rsidR="00506634" w:rsidRDefault="00AC5B6D">
      <w:pPr>
        <w:rPr>
          <w:rFonts w:ascii="Calibri" w:hAnsi="Calibri" w:cs="Calibri"/>
        </w:rPr>
      </w:pPr>
      <w:r w:rsidRPr="00AC5B6D">
        <w:t>We will continue to monitor our pay approach to ensure that we maintain the principles of equality for all</w:t>
      </w:r>
      <w:r w:rsidR="00506634">
        <w:t>.</w:t>
      </w:r>
    </w:p>
    <w:p w14:paraId="64FF3ABF" w14:textId="77777777" w:rsidR="00506634" w:rsidRDefault="00506634">
      <w:pPr>
        <w:rPr>
          <w:rFonts w:ascii="Calibri" w:hAnsi="Calibri" w:cs="Calibri"/>
        </w:rPr>
      </w:pPr>
    </w:p>
    <w:p w14:paraId="78A3197D" w14:textId="382EFC0B" w:rsidR="00E73023" w:rsidRDefault="00E73023">
      <w:pPr>
        <w:rPr>
          <w:rFonts w:ascii="Calibri-Bold" w:hAnsi="Calibri-Bold" w:cs="Calibri-Bold"/>
          <w:b/>
          <w:bCs/>
        </w:rPr>
      </w:pPr>
      <w:r>
        <w:rPr>
          <w:rFonts w:ascii="Calibri-Bold" w:hAnsi="Calibri-Bold" w:cs="Calibri-Bold"/>
          <w:b/>
          <w:bCs/>
        </w:rPr>
        <w:t>Mean Gender Pay Gap</w:t>
      </w:r>
      <w:r w:rsidR="00A53562">
        <w:rPr>
          <w:rFonts w:ascii="Calibri-Bold" w:hAnsi="Calibri-Bold" w:cs="Calibri-Bold"/>
          <w:b/>
          <w:bCs/>
        </w:rPr>
        <w:t xml:space="preserve"> % - </w:t>
      </w:r>
      <w:r w:rsidR="00F75A1A">
        <w:rPr>
          <w:rFonts w:ascii="Calibri-Bold" w:hAnsi="Calibri-Bold" w:cs="Calibri-Bold"/>
          <w:b/>
          <w:bCs/>
        </w:rPr>
        <w:t>4</w:t>
      </w:r>
      <w:r w:rsidR="00576824">
        <w:rPr>
          <w:rFonts w:ascii="Calibri-Bold" w:hAnsi="Calibri-Bold" w:cs="Calibri-Bold"/>
          <w:b/>
          <w:bCs/>
        </w:rPr>
        <w:t>5.84%</w:t>
      </w:r>
    </w:p>
    <w:p w14:paraId="37E654C4" w14:textId="4D679E1E" w:rsidR="00E73023" w:rsidRDefault="00E73023">
      <w:pPr>
        <w:rPr>
          <w:rFonts w:ascii="Calibri-Bold" w:hAnsi="Calibri-Bold" w:cs="Calibri-Bold"/>
          <w:b/>
          <w:bCs/>
        </w:rPr>
      </w:pPr>
      <w:r>
        <w:rPr>
          <w:rFonts w:ascii="Calibri-Bold" w:hAnsi="Calibri-Bold" w:cs="Calibri-Bold"/>
          <w:b/>
          <w:bCs/>
        </w:rPr>
        <w:t>Median Gender Pay Gap</w:t>
      </w:r>
      <w:r w:rsidR="00A53562">
        <w:rPr>
          <w:rFonts w:ascii="Calibri-Bold" w:hAnsi="Calibri-Bold" w:cs="Calibri-Bold"/>
          <w:b/>
          <w:bCs/>
        </w:rPr>
        <w:t xml:space="preserve"> </w:t>
      </w:r>
      <w:r w:rsidR="00BD5117">
        <w:rPr>
          <w:rFonts w:ascii="Calibri-Bold" w:hAnsi="Calibri-Bold" w:cs="Calibri-Bold"/>
          <w:b/>
          <w:bCs/>
        </w:rPr>
        <w:t>–</w:t>
      </w:r>
      <w:r w:rsidR="00A53562">
        <w:rPr>
          <w:rFonts w:ascii="Calibri-Bold" w:hAnsi="Calibri-Bold" w:cs="Calibri-Bold"/>
          <w:b/>
          <w:bCs/>
        </w:rPr>
        <w:t xml:space="preserve"> </w:t>
      </w:r>
      <w:r w:rsidR="00BD5117">
        <w:rPr>
          <w:rFonts w:ascii="Calibri-Bold" w:hAnsi="Calibri-Bold" w:cs="Calibri-Bold"/>
          <w:b/>
          <w:bCs/>
        </w:rPr>
        <w:t>14.</w:t>
      </w:r>
      <w:r w:rsidR="00576824">
        <w:rPr>
          <w:rFonts w:ascii="Calibri-Bold" w:hAnsi="Calibri-Bold" w:cs="Calibri-Bold"/>
          <w:b/>
          <w:bCs/>
        </w:rPr>
        <w:t>03</w:t>
      </w:r>
      <w:r w:rsidR="00BD5117">
        <w:rPr>
          <w:rFonts w:ascii="Calibri-Bold" w:hAnsi="Calibri-Bold" w:cs="Calibri-Bold"/>
          <w:b/>
          <w:bCs/>
        </w:rPr>
        <w:t>%</w:t>
      </w:r>
    </w:p>
    <w:p w14:paraId="3D292EFD" w14:textId="77777777" w:rsidR="00E73023" w:rsidRDefault="00E73023">
      <w:pPr>
        <w:rPr>
          <w:rFonts w:ascii="Calibri-Bold" w:hAnsi="Calibri-Bold" w:cs="Calibri-Bold"/>
          <w:b/>
          <w:bCs/>
        </w:rPr>
      </w:pPr>
    </w:p>
    <w:p w14:paraId="3D173B48" w14:textId="77777777" w:rsidR="00BD5117" w:rsidRDefault="00E73023">
      <w:pPr>
        <w:rPr>
          <w:rFonts w:ascii="Calibri-Bold" w:hAnsi="Calibri-Bold" w:cs="Calibri-Bold"/>
          <w:b/>
          <w:bCs/>
        </w:rPr>
      </w:pPr>
      <w:r>
        <w:rPr>
          <w:rFonts w:ascii="Calibri-Bold" w:hAnsi="Calibri-Bold" w:cs="Calibri-Bold"/>
          <w:b/>
          <w:bCs/>
        </w:rPr>
        <w:t>Mean Bonus Gender Pay Gap – 0%</w:t>
      </w:r>
    </w:p>
    <w:p w14:paraId="4464B396" w14:textId="3F4B0BFA" w:rsidR="00E73023" w:rsidRDefault="00E73023">
      <w:pPr>
        <w:rPr>
          <w:rFonts w:ascii="Calibri-Bold" w:hAnsi="Calibri-Bold" w:cs="Calibri-Bold"/>
          <w:b/>
          <w:bCs/>
        </w:rPr>
      </w:pPr>
      <w:r>
        <w:rPr>
          <w:rFonts w:ascii="Calibri-Bold" w:hAnsi="Calibri-Bold" w:cs="Calibri-Bold"/>
          <w:b/>
          <w:bCs/>
        </w:rPr>
        <w:t>Median Bonus Gender Pay Gap – 0%</w:t>
      </w:r>
    </w:p>
    <w:p w14:paraId="0F2F4EC6" w14:textId="3533D7A1" w:rsidR="00E73023" w:rsidRDefault="00E73023">
      <w:pPr>
        <w:rPr>
          <w:rFonts w:ascii="Calibri-Bold" w:hAnsi="Calibri-Bold" w:cs="Calibri-Bold"/>
          <w:b/>
          <w:bCs/>
        </w:rPr>
      </w:pPr>
    </w:p>
    <w:p w14:paraId="65C5EF35" w14:textId="0634C66F" w:rsidR="00E73023" w:rsidRDefault="00E73023">
      <w:pPr>
        <w:rPr>
          <w:rFonts w:ascii="Calibri-Bold" w:hAnsi="Calibri-Bold" w:cs="Calibri-Bold"/>
          <w:b/>
          <w:bCs/>
        </w:rPr>
      </w:pPr>
      <w:r>
        <w:rPr>
          <w:rFonts w:ascii="Calibri-Bold" w:hAnsi="Calibri-Bold" w:cs="Calibri-Bold"/>
          <w:b/>
          <w:bCs/>
        </w:rPr>
        <w:t>Proportion of males receiving a bonus – 0</w:t>
      </w:r>
    </w:p>
    <w:p w14:paraId="4767AF86" w14:textId="159997AD" w:rsidR="00E73023" w:rsidRDefault="00E73023">
      <w:pPr>
        <w:rPr>
          <w:b/>
          <w:bCs/>
        </w:rPr>
      </w:pPr>
      <w:r>
        <w:rPr>
          <w:rFonts w:ascii="Calibri-Bold" w:hAnsi="Calibri-Bold" w:cs="Calibri-Bold"/>
          <w:b/>
          <w:bCs/>
        </w:rPr>
        <w:t>Proportion of females receiving a bonus - 0</w:t>
      </w:r>
    </w:p>
    <w:p w14:paraId="394BB6A7" w14:textId="28AB07F3" w:rsidR="00DB0B38" w:rsidRDefault="00DB0B38">
      <w:pPr>
        <w:rPr>
          <w:b/>
          <w:bCs/>
        </w:rPr>
      </w:pPr>
    </w:p>
    <w:p w14:paraId="1D2486F6" w14:textId="3B03CDFE" w:rsidR="00DB0B38" w:rsidRDefault="00C3724C">
      <w:pPr>
        <w:rPr>
          <w:b/>
          <w:bCs/>
        </w:rPr>
      </w:pPr>
      <w:r w:rsidRPr="00EA21CD">
        <w:rPr>
          <w:noProof/>
        </w:rPr>
        <w:lastRenderedPageBreak/>
        <w:drawing>
          <wp:anchor distT="0" distB="0" distL="114300" distR="114300" simplePos="0" relativeHeight="251658240" behindDoc="1" locked="0" layoutInCell="1" allowOverlap="1" wp14:anchorId="1646C667" wp14:editId="6D84558B">
            <wp:simplePos x="0" y="0"/>
            <wp:positionH relativeFrom="column">
              <wp:posOffset>235390</wp:posOffset>
            </wp:positionH>
            <wp:positionV relativeFrom="paragraph">
              <wp:posOffset>239213</wp:posOffset>
            </wp:positionV>
            <wp:extent cx="860079" cy="756508"/>
            <wp:effectExtent l="0" t="0" r="0" b="5715"/>
            <wp:wrapTight wrapText="bothSides">
              <wp:wrapPolygon edited="0">
                <wp:start x="0" y="0"/>
                <wp:lineTo x="0" y="21219"/>
                <wp:lineTo x="21058" y="21219"/>
                <wp:lineTo x="210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9556"/>
                    <a:stretch/>
                  </pic:blipFill>
                  <pic:spPr bwMode="auto">
                    <a:xfrm>
                      <a:off x="0" y="0"/>
                      <a:ext cx="860079" cy="756508"/>
                    </a:xfrm>
                    <a:prstGeom prst="rect">
                      <a:avLst/>
                    </a:prstGeom>
                    <a:noFill/>
                    <a:ln>
                      <a:noFill/>
                    </a:ln>
                    <a:extLst>
                      <a:ext uri="{53640926-AAD7-44D8-BBD7-CCE9431645EC}">
                        <a14:shadowObscured xmlns:a14="http://schemas.microsoft.com/office/drawing/2010/main"/>
                      </a:ext>
                    </a:extLst>
                  </pic:spPr>
                </pic:pic>
              </a:graphicData>
            </a:graphic>
          </wp:anchor>
        </w:drawing>
      </w:r>
      <w:r w:rsidR="00DB0B38">
        <w:rPr>
          <w:b/>
          <w:bCs/>
        </w:rPr>
        <w:t>Signature of CEO:</w:t>
      </w:r>
    </w:p>
    <w:p w14:paraId="0060F9B3" w14:textId="34BFBEB4" w:rsidR="00BD5117" w:rsidRDefault="00BD5117">
      <w:pPr>
        <w:rPr>
          <w:b/>
          <w:bCs/>
        </w:rPr>
      </w:pPr>
    </w:p>
    <w:p w14:paraId="56477FD7" w14:textId="77777777" w:rsidR="00C3724C" w:rsidRDefault="00C3724C">
      <w:pPr>
        <w:rPr>
          <w:b/>
          <w:bCs/>
        </w:rPr>
      </w:pPr>
    </w:p>
    <w:p w14:paraId="76491390" w14:textId="77777777" w:rsidR="00C3724C" w:rsidRDefault="00C3724C">
      <w:pPr>
        <w:rPr>
          <w:b/>
          <w:bCs/>
        </w:rPr>
      </w:pPr>
    </w:p>
    <w:p w14:paraId="14385B4F" w14:textId="1D772F5E" w:rsidR="00BD5117" w:rsidRDefault="00BD5117">
      <w:pPr>
        <w:rPr>
          <w:b/>
          <w:bCs/>
        </w:rPr>
      </w:pPr>
      <w:r>
        <w:rPr>
          <w:b/>
          <w:bCs/>
        </w:rPr>
        <w:t>Gender Pay Reporting - Quartiles</w:t>
      </w:r>
    </w:p>
    <w:p w14:paraId="7824824D" w14:textId="5C93F5E3" w:rsidR="00BD5117" w:rsidRDefault="00BD5117">
      <w:pPr>
        <w:rPr>
          <w:b/>
          <w:bCs/>
        </w:rPr>
      </w:pPr>
      <w:r>
        <w:rPr>
          <w:rFonts w:ascii="Calibri" w:hAnsi="Calibri" w:cs="Calibri"/>
        </w:rPr>
        <w:t>We are required to show the proportions of male and female full-pay relevant employees in four quartiles, which is done by dividing the workforce into four equal parts. Comparing these results will indicate the distribution of full-pay relevant male and female employees in the quartile. Comparing results between the quartiles will indicate the distribution of full-pay relevant male and female employees across the organisation.</w:t>
      </w:r>
    </w:p>
    <w:p w14:paraId="574AD64B" w14:textId="77777777" w:rsidR="00DB0B38" w:rsidRDefault="00DB0B38">
      <w:pPr>
        <w:rPr>
          <w:b/>
          <w:bCs/>
        </w:rPr>
      </w:pPr>
    </w:p>
    <w:tbl>
      <w:tblPr>
        <w:tblStyle w:val="TableGrid"/>
        <w:tblW w:w="0" w:type="auto"/>
        <w:tblLook w:val="04A0" w:firstRow="1" w:lastRow="0" w:firstColumn="1" w:lastColumn="0" w:noHBand="0" w:noVBand="1"/>
      </w:tblPr>
      <w:tblGrid>
        <w:gridCol w:w="3005"/>
        <w:gridCol w:w="3005"/>
        <w:gridCol w:w="3006"/>
      </w:tblGrid>
      <w:tr w:rsidR="00C96E4D" w14:paraId="20C65A96" w14:textId="77777777" w:rsidTr="00C96E4D">
        <w:tc>
          <w:tcPr>
            <w:tcW w:w="3005" w:type="dxa"/>
          </w:tcPr>
          <w:p w14:paraId="4F207840" w14:textId="77777777" w:rsidR="00C96E4D" w:rsidRDefault="00C96E4D">
            <w:pPr>
              <w:rPr>
                <w:b/>
                <w:bCs/>
              </w:rPr>
            </w:pPr>
          </w:p>
        </w:tc>
        <w:tc>
          <w:tcPr>
            <w:tcW w:w="3005" w:type="dxa"/>
          </w:tcPr>
          <w:p w14:paraId="2BB21B26" w14:textId="2DE686BE" w:rsidR="00C96E4D" w:rsidRDefault="00C96E4D">
            <w:pPr>
              <w:rPr>
                <w:b/>
                <w:bCs/>
              </w:rPr>
            </w:pPr>
            <w:r>
              <w:rPr>
                <w:b/>
                <w:bCs/>
              </w:rPr>
              <w:t>Men</w:t>
            </w:r>
          </w:p>
        </w:tc>
        <w:tc>
          <w:tcPr>
            <w:tcW w:w="3006" w:type="dxa"/>
          </w:tcPr>
          <w:p w14:paraId="6AC849DC" w14:textId="72FE7026" w:rsidR="00C96E4D" w:rsidRDefault="00C96E4D">
            <w:pPr>
              <w:rPr>
                <w:b/>
                <w:bCs/>
              </w:rPr>
            </w:pPr>
            <w:r>
              <w:rPr>
                <w:b/>
                <w:bCs/>
              </w:rPr>
              <w:t>Women</w:t>
            </w:r>
          </w:p>
        </w:tc>
      </w:tr>
      <w:tr w:rsidR="00C96E4D" w14:paraId="1EC12E8B" w14:textId="77777777" w:rsidTr="00240C8E">
        <w:trPr>
          <w:trHeight w:val="237"/>
        </w:trPr>
        <w:tc>
          <w:tcPr>
            <w:tcW w:w="3005" w:type="dxa"/>
          </w:tcPr>
          <w:p w14:paraId="389A9DCA" w14:textId="4A2D51B3" w:rsidR="00C96E4D" w:rsidRDefault="00C96E4D">
            <w:pPr>
              <w:rPr>
                <w:b/>
                <w:bCs/>
              </w:rPr>
            </w:pPr>
            <w:r>
              <w:rPr>
                <w:b/>
                <w:bCs/>
              </w:rPr>
              <w:t xml:space="preserve">Quartile </w:t>
            </w:r>
            <w:r w:rsidR="00240C8E">
              <w:rPr>
                <w:b/>
                <w:bCs/>
              </w:rPr>
              <w:t>1</w:t>
            </w:r>
            <w:r>
              <w:rPr>
                <w:b/>
                <w:bCs/>
              </w:rPr>
              <w:t xml:space="preserve"> (highest paid)</w:t>
            </w:r>
          </w:p>
        </w:tc>
        <w:tc>
          <w:tcPr>
            <w:tcW w:w="3005" w:type="dxa"/>
          </w:tcPr>
          <w:p w14:paraId="1EA41677" w14:textId="492AAD49" w:rsidR="00C96E4D" w:rsidRDefault="002A1E18">
            <w:pPr>
              <w:rPr>
                <w:b/>
                <w:bCs/>
              </w:rPr>
            </w:pPr>
            <w:r>
              <w:rPr>
                <w:b/>
                <w:bCs/>
              </w:rPr>
              <w:t>4</w:t>
            </w:r>
            <w:r w:rsidR="00554E72">
              <w:rPr>
                <w:b/>
                <w:bCs/>
              </w:rPr>
              <w:t>2.86</w:t>
            </w:r>
            <w:r>
              <w:rPr>
                <w:b/>
                <w:bCs/>
              </w:rPr>
              <w:t>%</w:t>
            </w:r>
          </w:p>
        </w:tc>
        <w:tc>
          <w:tcPr>
            <w:tcW w:w="3006" w:type="dxa"/>
          </w:tcPr>
          <w:p w14:paraId="17FEA308" w14:textId="66832102" w:rsidR="002A1E18" w:rsidRDefault="002A1E18">
            <w:pPr>
              <w:rPr>
                <w:b/>
                <w:bCs/>
              </w:rPr>
            </w:pPr>
            <w:r>
              <w:rPr>
                <w:b/>
                <w:bCs/>
              </w:rPr>
              <w:t>5</w:t>
            </w:r>
            <w:r w:rsidR="00554E72">
              <w:rPr>
                <w:b/>
                <w:bCs/>
              </w:rPr>
              <w:t>7.14%</w:t>
            </w:r>
          </w:p>
        </w:tc>
      </w:tr>
      <w:tr w:rsidR="00240C8E" w14:paraId="647E2B07" w14:textId="77777777" w:rsidTr="00240C8E">
        <w:trPr>
          <w:trHeight w:val="237"/>
        </w:trPr>
        <w:tc>
          <w:tcPr>
            <w:tcW w:w="3005" w:type="dxa"/>
          </w:tcPr>
          <w:p w14:paraId="7F85E1C8" w14:textId="0E5E49B9" w:rsidR="00240C8E" w:rsidRDefault="00240C8E" w:rsidP="00240C8E">
            <w:pPr>
              <w:rPr>
                <w:b/>
                <w:bCs/>
              </w:rPr>
            </w:pPr>
            <w:r>
              <w:rPr>
                <w:b/>
                <w:bCs/>
              </w:rPr>
              <w:t>Quartile 2</w:t>
            </w:r>
          </w:p>
        </w:tc>
        <w:tc>
          <w:tcPr>
            <w:tcW w:w="3005" w:type="dxa"/>
          </w:tcPr>
          <w:p w14:paraId="4E33C478" w14:textId="523EEB03" w:rsidR="00240C8E" w:rsidRDefault="00240C8E" w:rsidP="00240C8E">
            <w:pPr>
              <w:rPr>
                <w:b/>
                <w:bCs/>
              </w:rPr>
            </w:pPr>
            <w:r>
              <w:rPr>
                <w:b/>
                <w:bCs/>
              </w:rPr>
              <w:t>15.58%</w:t>
            </w:r>
          </w:p>
        </w:tc>
        <w:tc>
          <w:tcPr>
            <w:tcW w:w="3006" w:type="dxa"/>
          </w:tcPr>
          <w:p w14:paraId="33051187" w14:textId="52CAC3C1" w:rsidR="00240C8E" w:rsidRDefault="00240C8E" w:rsidP="00240C8E">
            <w:pPr>
              <w:rPr>
                <w:b/>
                <w:bCs/>
              </w:rPr>
            </w:pPr>
            <w:r>
              <w:rPr>
                <w:b/>
                <w:bCs/>
              </w:rPr>
              <w:t>84.42%</w:t>
            </w:r>
          </w:p>
        </w:tc>
      </w:tr>
      <w:tr w:rsidR="00240C8E" w14:paraId="43F62D45" w14:textId="77777777" w:rsidTr="00240C8E">
        <w:trPr>
          <w:trHeight w:val="237"/>
        </w:trPr>
        <w:tc>
          <w:tcPr>
            <w:tcW w:w="3005" w:type="dxa"/>
          </w:tcPr>
          <w:p w14:paraId="6F896EA9" w14:textId="7977E5A2" w:rsidR="00240C8E" w:rsidRDefault="00240C8E" w:rsidP="00240C8E">
            <w:pPr>
              <w:rPr>
                <w:b/>
                <w:bCs/>
              </w:rPr>
            </w:pPr>
            <w:r>
              <w:rPr>
                <w:b/>
                <w:bCs/>
              </w:rPr>
              <w:t>Quartile 3</w:t>
            </w:r>
          </w:p>
        </w:tc>
        <w:tc>
          <w:tcPr>
            <w:tcW w:w="3005" w:type="dxa"/>
          </w:tcPr>
          <w:p w14:paraId="066734C5" w14:textId="07B17E94" w:rsidR="00240C8E" w:rsidRDefault="00240C8E" w:rsidP="00240C8E">
            <w:pPr>
              <w:rPr>
                <w:b/>
                <w:bCs/>
              </w:rPr>
            </w:pPr>
            <w:r>
              <w:rPr>
                <w:b/>
                <w:bCs/>
              </w:rPr>
              <w:t>10.39%</w:t>
            </w:r>
          </w:p>
        </w:tc>
        <w:tc>
          <w:tcPr>
            <w:tcW w:w="3006" w:type="dxa"/>
          </w:tcPr>
          <w:p w14:paraId="40602848" w14:textId="3F5197A8" w:rsidR="00240C8E" w:rsidRDefault="00240C8E" w:rsidP="00240C8E">
            <w:pPr>
              <w:rPr>
                <w:b/>
                <w:bCs/>
              </w:rPr>
            </w:pPr>
            <w:r>
              <w:rPr>
                <w:b/>
                <w:bCs/>
              </w:rPr>
              <w:t>89.61%</w:t>
            </w:r>
          </w:p>
        </w:tc>
      </w:tr>
      <w:tr w:rsidR="00240C8E" w14:paraId="374003AC" w14:textId="77777777" w:rsidTr="00240C8E">
        <w:trPr>
          <w:trHeight w:val="237"/>
        </w:trPr>
        <w:tc>
          <w:tcPr>
            <w:tcW w:w="3005" w:type="dxa"/>
          </w:tcPr>
          <w:p w14:paraId="00102029" w14:textId="6F7179A8" w:rsidR="00240C8E" w:rsidRDefault="00240C8E" w:rsidP="00240C8E">
            <w:pPr>
              <w:rPr>
                <w:b/>
                <w:bCs/>
              </w:rPr>
            </w:pPr>
            <w:r>
              <w:rPr>
                <w:b/>
                <w:bCs/>
              </w:rPr>
              <w:t>Quartile 4 (lowest paid)</w:t>
            </w:r>
          </w:p>
        </w:tc>
        <w:tc>
          <w:tcPr>
            <w:tcW w:w="3005" w:type="dxa"/>
          </w:tcPr>
          <w:p w14:paraId="05AE657E" w14:textId="6F551259" w:rsidR="00240C8E" w:rsidRDefault="00240C8E" w:rsidP="00240C8E">
            <w:pPr>
              <w:rPr>
                <w:b/>
                <w:bCs/>
              </w:rPr>
            </w:pPr>
            <w:r>
              <w:rPr>
                <w:b/>
                <w:bCs/>
              </w:rPr>
              <w:t>24.68%</w:t>
            </w:r>
          </w:p>
        </w:tc>
        <w:tc>
          <w:tcPr>
            <w:tcW w:w="3006" w:type="dxa"/>
          </w:tcPr>
          <w:p w14:paraId="0E7846C7" w14:textId="2DADC4F6" w:rsidR="00240C8E" w:rsidRDefault="00240C8E" w:rsidP="00240C8E">
            <w:pPr>
              <w:rPr>
                <w:b/>
                <w:bCs/>
              </w:rPr>
            </w:pPr>
            <w:r>
              <w:rPr>
                <w:b/>
                <w:bCs/>
              </w:rPr>
              <w:t>75.32%</w:t>
            </w:r>
          </w:p>
        </w:tc>
      </w:tr>
    </w:tbl>
    <w:p w14:paraId="5CF9EF1E" w14:textId="77777777" w:rsidR="00C96E4D" w:rsidRDefault="00C96E4D">
      <w:pPr>
        <w:rPr>
          <w:b/>
          <w:bCs/>
        </w:rPr>
      </w:pPr>
    </w:p>
    <w:p w14:paraId="010A49AB" w14:textId="09770ED6" w:rsidR="00975478" w:rsidRPr="00AC5B6D" w:rsidRDefault="00975478">
      <w:pPr>
        <w:rPr>
          <w:b/>
          <w:bCs/>
        </w:rPr>
      </w:pPr>
    </w:p>
    <w:sectPr w:rsidR="00975478" w:rsidRPr="00AC5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6D"/>
    <w:rsid w:val="001655C4"/>
    <w:rsid w:val="002015A5"/>
    <w:rsid w:val="00240C8E"/>
    <w:rsid w:val="002A1E18"/>
    <w:rsid w:val="002D2659"/>
    <w:rsid w:val="00317712"/>
    <w:rsid w:val="003E1029"/>
    <w:rsid w:val="00430530"/>
    <w:rsid w:val="00506634"/>
    <w:rsid w:val="00554E72"/>
    <w:rsid w:val="00573EB7"/>
    <w:rsid w:val="00576824"/>
    <w:rsid w:val="00735542"/>
    <w:rsid w:val="008008A2"/>
    <w:rsid w:val="00857B9D"/>
    <w:rsid w:val="008A0D58"/>
    <w:rsid w:val="00975478"/>
    <w:rsid w:val="009E0419"/>
    <w:rsid w:val="00A53562"/>
    <w:rsid w:val="00AC5B6D"/>
    <w:rsid w:val="00BD5117"/>
    <w:rsid w:val="00C3724C"/>
    <w:rsid w:val="00C96E4D"/>
    <w:rsid w:val="00D74439"/>
    <w:rsid w:val="00DB0B38"/>
    <w:rsid w:val="00E73023"/>
    <w:rsid w:val="00F75A1A"/>
    <w:rsid w:val="00FA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F19C7F"/>
  <w15:chartTrackingRefBased/>
  <w15:docId w15:val="{8E797A8D-BD79-4651-9968-45DDE95F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image001.png@01D8EDEC.3C1B81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Carol (NHS BARNSLEY CCG)</dc:creator>
  <cp:keywords/>
  <dc:description/>
  <cp:lastModifiedBy>WILSON, Pippa (NHS SOUTH YORKSHIRE ICB - 02P)</cp:lastModifiedBy>
  <cp:revision>11</cp:revision>
  <dcterms:created xsi:type="dcterms:W3CDTF">2024-03-14T11:25:00Z</dcterms:created>
  <dcterms:modified xsi:type="dcterms:W3CDTF">2024-03-21T10:54:00Z</dcterms:modified>
</cp:coreProperties>
</file>